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jc w:val="left"/>
        <w:rPr>
          <w:sz w:val="24"/>
        </w:rPr>
      </w:pPr>
    </w:p>
    <w:p>
      <w:pPr>
        <w:jc w:val="left"/>
        <w:rPr>
          <w:rFonts w:hint="eastAsia" w:ascii="思源黑体 CN Bold" w:hAnsi="思源黑体 CN Bold" w:eastAsia="思源黑体 CN Bold" w:cs="思源黑体 CN Bold"/>
          <w:b/>
          <w:bCs/>
          <w:sz w:val="24"/>
        </w:rPr>
      </w:pPr>
      <w:r>
        <w:rPr>
          <w:rFonts w:hint="eastAsia" w:ascii="思源黑体 CN Bold" w:hAnsi="思源黑体 CN Bold" w:eastAsia="思源黑体 CN Bold" w:cs="思源黑体 CN Bold"/>
          <w:b/>
          <w:bCs/>
          <w:color w:val="D2181B"/>
          <w:sz w:val="52"/>
        </w:rPr>
        <w:t>趣店集团2017年校园招聘强势来袭！</w:t>
      </w:r>
    </w:p>
    <w:p>
      <w:pPr>
        <w:spacing w:after="156" w:afterLines="50"/>
        <w:jc w:val="left"/>
        <w:rPr>
          <w:rFonts w:ascii="宋体" w:hAnsi="宋体"/>
          <w:b/>
          <w:bCs/>
          <w:color w:val="FF0000"/>
          <w:sz w:val="32"/>
          <w:szCs w:val="20"/>
        </w:rPr>
      </w:pPr>
      <w:r>
        <w:rPr>
          <w:rFonts w:hint="eastAsia" w:ascii="宋体" w:hAnsi="宋体"/>
          <w:b/>
          <w:bCs/>
          <w:color w:val="FF0000"/>
          <w:sz w:val="32"/>
          <w:szCs w:val="20"/>
        </w:rPr>
        <w:t>公司简介</w:t>
      </w:r>
    </w:p>
    <w:p>
      <w:pPr>
        <w:rPr>
          <w:rFonts w:hint="eastAsia"/>
        </w:rPr>
      </w:pPr>
      <w:r>
        <w:rPr>
          <w:rFonts w:hint="eastAsia"/>
        </w:rPr>
        <w:t>公司名称</w:t>
      </w:r>
      <w:r>
        <w:rPr>
          <w:rFonts w:hint="eastAsia"/>
        </w:rPr>
        <w:tab/>
      </w:r>
      <w:r>
        <w:rPr>
          <w:rFonts w:hint="eastAsia"/>
        </w:rPr>
        <w:t>趣分期（北京）信息技术有限公司</w:t>
      </w:r>
    </w:p>
    <w:p>
      <w:pPr>
        <w:rPr>
          <w:rFonts w:hint="eastAsia"/>
        </w:rPr>
      </w:pPr>
      <w:r>
        <w:rPr>
          <w:rFonts w:hint="eastAsia"/>
        </w:rPr>
        <w:t>公司性质</w:t>
      </w:r>
      <w:r>
        <w:rPr>
          <w:rFonts w:hint="eastAsia"/>
        </w:rPr>
        <w:tab/>
      </w:r>
      <w:r>
        <w:rPr>
          <w:rFonts w:hint="eastAsia"/>
        </w:rPr>
        <w:t>民营企业（PRE-IPO）</w:t>
      </w:r>
    </w:p>
    <w:p>
      <w:pPr>
        <w:rPr>
          <w:rFonts w:hint="eastAsia"/>
        </w:rPr>
      </w:pPr>
      <w:r>
        <w:rPr>
          <w:rFonts w:hint="eastAsia"/>
        </w:rPr>
        <w:t>公司规模</w:t>
      </w:r>
      <w:r>
        <w:rPr>
          <w:rFonts w:hint="eastAsia"/>
        </w:rPr>
        <w:tab/>
      </w:r>
      <w:r>
        <w:rPr>
          <w:rFonts w:hint="eastAsia"/>
        </w:rPr>
        <w:t>1000人以上</w:t>
      </w:r>
    </w:p>
    <w:p>
      <w:pPr>
        <w:rPr>
          <w:rFonts w:hint="eastAsia"/>
        </w:rPr>
      </w:pPr>
      <w:r>
        <w:rPr>
          <w:rFonts w:hint="eastAsia"/>
        </w:rPr>
        <w:t>公司行业</w:t>
      </w:r>
      <w:r>
        <w:rPr>
          <w:rFonts w:hint="eastAsia"/>
        </w:rPr>
        <w:tab/>
      </w:r>
      <w:r>
        <w:rPr>
          <w:rFonts w:hint="eastAsia"/>
        </w:rPr>
        <w:t>消费金融</w:t>
      </w:r>
    </w:p>
    <w:p>
      <w:pPr>
        <w:rPr>
          <w:rFonts w:hint="eastAsia"/>
        </w:rPr>
      </w:pPr>
    </w:p>
    <w:p>
      <w:pPr>
        <w:rPr>
          <w:sz w:val="24"/>
          <w:szCs w:val="24"/>
        </w:rPr>
      </w:pPr>
      <w:r>
        <w:rPr>
          <w:rFonts w:hint="eastAsia"/>
          <w:lang w:val="en-US" w:eastAsia="zh-CN"/>
        </w:rPr>
        <w:t xml:space="preserve">    </w:t>
      </w:r>
      <w:bookmarkStart w:id="0" w:name="_GoBack"/>
      <w:bookmarkEnd w:id="0"/>
      <w:r>
        <w:rPr>
          <w:rFonts w:hint="eastAsia"/>
          <w:sz w:val="24"/>
          <w:szCs w:val="24"/>
        </w:rPr>
        <w:t>趣店集团旗下分为两块主要业务，分别为消费金融电商平台和小额信用贷款平台。自</w:t>
      </w:r>
      <w:r>
        <w:rPr>
          <w:sz w:val="24"/>
          <w:szCs w:val="24"/>
        </w:rPr>
        <w:t>2014</w:t>
      </w:r>
      <w:r>
        <w:rPr>
          <w:rFonts w:hint="eastAsia"/>
          <w:sz w:val="24"/>
          <w:szCs w:val="24"/>
        </w:rPr>
        <w:t>年</w:t>
      </w:r>
      <w:r>
        <w:rPr>
          <w:sz w:val="24"/>
          <w:szCs w:val="24"/>
        </w:rPr>
        <w:t>3</w:t>
      </w:r>
      <w:r>
        <w:rPr>
          <w:rFonts w:hint="eastAsia"/>
          <w:sz w:val="24"/>
          <w:szCs w:val="24"/>
        </w:rPr>
        <w:t>月成立以来，围绕</w:t>
      </w:r>
      <w:r>
        <w:rPr>
          <w:sz w:val="24"/>
          <w:szCs w:val="24"/>
        </w:rPr>
        <w:t>5</w:t>
      </w:r>
      <w:r>
        <w:rPr>
          <w:rFonts w:hint="eastAsia"/>
          <w:sz w:val="24"/>
          <w:szCs w:val="24"/>
        </w:rPr>
        <w:t>亿非信用卡人群，提供了包括趣店、来分期等产品在内的多元金融消费服务，目前注册用户已超过</w:t>
      </w:r>
      <w:r>
        <w:rPr>
          <w:sz w:val="24"/>
          <w:szCs w:val="24"/>
        </w:rPr>
        <w:t>2000</w:t>
      </w:r>
      <w:r>
        <w:rPr>
          <w:rFonts w:hint="eastAsia"/>
          <w:sz w:val="24"/>
          <w:szCs w:val="24"/>
        </w:rPr>
        <w:t>万人，覆盖</w:t>
      </w:r>
      <w:r>
        <w:rPr>
          <w:sz w:val="24"/>
          <w:szCs w:val="24"/>
        </w:rPr>
        <w:t>18</w:t>
      </w:r>
      <w:r>
        <w:rPr>
          <w:rFonts w:hint="eastAsia"/>
          <w:sz w:val="24"/>
          <w:szCs w:val="24"/>
        </w:rPr>
        <w:t>岁至</w:t>
      </w:r>
      <w:r>
        <w:rPr>
          <w:sz w:val="24"/>
          <w:szCs w:val="24"/>
        </w:rPr>
        <w:t>50</w:t>
      </w:r>
      <w:r>
        <w:rPr>
          <w:rFonts w:hint="eastAsia"/>
          <w:sz w:val="24"/>
          <w:szCs w:val="24"/>
        </w:rPr>
        <w:t>岁主力消费人群。集团目前在自有平台上，已与苹果、小米、联想、华为、乐视、小牛电动车等知名品牌达成长期战略合作。</w:t>
      </w:r>
    </w:p>
    <w:p>
      <w:pPr>
        <w:spacing w:line="360" w:lineRule="auto"/>
        <w:ind w:firstLine="420"/>
        <w:rPr>
          <w:sz w:val="24"/>
          <w:szCs w:val="24"/>
        </w:rPr>
      </w:pPr>
      <w:r>
        <w:rPr>
          <w:rFonts w:hint="eastAsia"/>
          <w:sz w:val="24"/>
          <w:szCs w:val="24"/>
        </w:rPr>
        <w:t>集团总部位于北京朝阳区慧忠北里</w:t>
      </w:r>
      <w:r>
        <w:rPr>
          <w:sz w:val="24"/>
          <w:szCs w:val="24"/>
        </w:rPr>
        <w:t>222</w:t>
      </w:r>
      <w:r>
        <w:rPr>
          <w:rFonts w:hint="eastAsia"/>
          <w:sz w:val="24"/>
          <w:szCs w:val="24"/>
        </w:rPr>
        <w:t>号</w:t>
      </w:r>
      <w:r>
        <w:rPr>
          <w:sz w:val="24"/>
          <w:szCs w:val="24"/>
        </w:rPr>
        <w:t>13F</w:t>
      </w:r>
      <w:r>
        <w:rPr>
          <w:rFonts w:hint="eastAsia"/>
          <w:sz w:val="24"/>
          <w:szCs w:val="24"/>
        </w:rPr>
        <w:t>和</w:t>
      </w:r>
      <w:r>
        <w:rPr>
          <w:sz w:val="24"/>
          <w:szCs w:val="24"/>
        </w:rPr>
        <w:t>15F</w:t>
      </w:r>
      <w:r>
        <w:rPr>
          <w:rFonts w:hint="eastAsia"/>
          <w:sz w:val="24"/>
          <w:szCs w:val="24"/>
        </w:rPr>
        <w:t>，占地面积</w:t>
      </w:r>
      <w:r>
        <w:rPr>
          <w:sz w:val="24"/>
          <w:szCs w:val="24"/>
        </w:rPr>
        <w:t>5000</w:t>
      </w:r>
      <w:r>
        <w:rPr>
          <w:rFonts w:hint="eastAsia"/>
          <w:sz w:val="24"/>
          <w:szCs w:val="24"/>
        </w:rPr>
        <w:t>平方米，办公面积</w:t>
      </w:r>
      <w:r>
        <w:rPr>
          <w:sz w:val="24"/>
          <w:szCs w:val="24"/>
        </w:rPr>
        <w:t>1300</w:t>
      </w:r>
      <w:r>
        <w:rPr>
          <w:rFonts w:hint="eastAsia"/>
          <w:sz w:val="24"/>
          <w:szCs w:val="24"/>
        </w:rPr>
        <w:t>平方米、总部人员</w:t>
      </w:r>
      <w:r>
        <w:rPr>
          <w:sz w:val="24"/>
          <w:szCs w:val="24"/>
        </w:rPr>
        <w:t>300</w:t>
      </w:r>
      <w:r>
        <w:rPr>
          <w:rFonts w:hint="eastAsia"/>
          <w:sz w:val="24"/>
          <w:szCs w:val="24"/>
        </w:rPr>
        <w:t>余名。 此外，还在天津和江西抚州设立全国运营中心。</w:t>
      </w:r>
    </w:p>
    <w:p>
      <w:pPr>
        <w:spacing w:line="360" w:lineRule="auto"/>
        <w:ind w:firstLine="420"/>
        <w:rPr>
          <w:rFonts w:ascii="宋体" w:hAnsi="宋体"/>
          <w:b/>
          <w:bCs/>
          <w:color w:val="FF0000"/>
          <w:sz w:val="32"/>
          <w:szCs w:val="20"/>
        </w:rPr>
      </w:pPr>
      <w:r>
        <w:rPr>
          <w:sz w:val="24"/>
          <w:szCs w:val="24"/>
        </w:rPr>
        <w:drawing>
          <wp:anchor distT="0" distB="0" distL="114300" distR="114300" simplePos="0" relativeHeight="251687936" behindDoc="1" locked="0" layoutInCell="1" allowOverlap="1">
            <wp:simplePos x="0" y="0"/>
            <wp:positionH relativeFrom="column">
              <wp:posOffset>5266690</wp:posOffset>
            </wp:positionH>
            <wp:positionV relativeFrom="paragraph">
              <wp:posOffset>415290</wp:posOffset>
            </wp:positionV>
            <wp:extent cx="0" cy="499745"/>
            <wp:effectExtent l="0" t="0" r="0" b="0"/>
            <wp:wrapNone/>
            <wp:docPr id="28"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0"/>
                    <pic:cNvPicPr>
                      <a:picLocks noChangeAspect="1"/>
                    </pic:cNvPicPr>
                  </pic:nvPicPr>
                  <pic:blipFill>
                    <a:blip r:embed="rId4"/>
                    <a:stretch>
                      <a:fillRect/>
                    </a:stretch>
                  </pic:blipFill>
                  <pic:spPr>
                    <a:xfrm>
                      <a:off x="0" y="0"/>
                      <a:ext cx="0" cy="499745"/>
                    </a:xfrm>
                    <a:prstGeom prst="rect">
                      <a:avLst/>
                    </a:prstGeom>
                    <a:noFill/>
                    <a:ln w="9525">
                      <a:noFill/>
                    </a:ln>
                  </pic:spPr>
                </pic:pic>
              </a:graphicData>
            </a:graphic>
          </wp:anchor>
        </w:drawing>
      </w:r>
      <w:r>
        <w:rPr>
          <w:rFonts w:hint="eastAsia"/>
          <w:sz w:val="24"/>
          <w:szCs w:val="24"/>
        </w:rPr>
        <w:t>从</w:t>
      </w:r>
      <w:r>
        <w:rPr>
          <w:sz w:val="24"/>
          <w:szCs w:val="24"/>
        </w:rPr>
        <w:t>2014</w:t>
      </w:r>
      <w:r>
        <w:rPr>
          <w:rFonts w:hint="eastAsia"/>
          <w:sz w:val="24"/>
          <w:szCs w:val="24"/>
        </w:rPr>
        <w:t>年开始，趣店的快速发展，为自己赢得越来越多的业界知名公司的关注与支持，在</w:t>
      </w:r>
      <w:r>
        <w:rPr>
          <w:sz w:val="24"/>
          <w:szCs w:val="24"/>
        </w:rPr>
        <w:t>2015</w:t>
      </w:r>
      <w:r>
        <w:rPr>
          <w:rFonts w:hint="eastAsia"/>
          <w:sz w:val="24"/>
          <w:szCs w:val="24"/>
        </w:rPr>
        <w:t>年</w:t>
      </w:r>
      <w:r>
        <w:rPr>
          <w:sz w:val="24"/>
          <w:szCs w:val="24"/>
        </w:rPr>
        <w:t>8</w:t>
      </w:r>
      <w:r>
        <w:rPr>
          <w:rFonts w:hint="eastAsia"/>
          <w:sz w:val="24"/>
          <w:szCs w:val="24"/>
        </w:rPr>
        <w:t>月获得蚂蚁金服集团领投的约</w:t>
      </w:r>
      <w:r>
        <w:rPr>
          <w:sz w:val="24"/>
          <w:szCs w:val="24"/>
        </w:rPr>
        <w:t>2</w:t>
      </w:r>
      <w:r>
        <w:rPr>
          <w:rFonts w:hint="eastAsia"/>
          <w:sz w:val="24"/>
          <w:szCs w:val="24"/>
        </w:rPr>
        <w:t>亿美金投资，同时趣店与蚂蚁金服旗下支付宝、独立第三方征信机构芝麻信用战略合作，完成支付体系和完善风控体系。</w:t>
      </w:r>
      <w:r>
        <w:rPr>
          <w:sz w:val="24"/>
          <w:szCs w:val="24"/>
        </w:rPr>
        <w:t>2016</w:t>
      </w:r>
      <w:r>
        <w:rPr>
          <w:rFonts w:hint="eastAsia"/>
          <w:sz w:val="24"/>
          <w:szCs w:val="24"/>
        </w:rPr>
        <w:t>年</w:t>
      </w:r>
      <w:r>
        <w:rPr>
          <w:sz w:val="24"/>
          <w:szCs w:val="24"/>
        </w:rPr>
        <w:t>7</w:t>
      </w:r>
      <w:r>
        <w:rPr>
          <w:rFonts w:hint="eastAsia"/>
          <w:sz w:val="24"/>
          <w:szCs w:val="24"/>
        </w:rPr>
        <w:t>月，趣店集团获得凤凰祥瑞，联络互动等联合领投，老股东跟投约</w:t>
      </w:r>
      <w:r>
        <w:rPr>
          <w:sz w:val="24"/>
          <w:szCs w:val="24"/>
        </w:rPr>
        <w:t>30</w:t>
      </w:r>
      <w:r>
        <w:rPr>
          <w:rFonts w:hint="eastAsia"/>
          <w:sz w:val="24"/>
          <w:szCs w:val="24"/>
        </w:rPr>
        <w:t>亿人民币首期</w:t>
      </w:r>
      <w:r>
        <w:rPr>
          <w:sz w:val="24"/>
          <w:szCs w:val="24"/>
        </w:rPr>
        <w:t>PRE-IPO</w:t>
      </w:r>
      <w:r>
        <w:rPr>
          <w:rFonts w:hint="eastAsia"/>
          <w:sz w:val="24"/>
          <w:szCs w:val="24"/>
        </w:rPr>
        <w:t>系列融资。</w:t>
      </w:r>
      <w:r>
        <w:rPr>
          <w:sz w:val="24"/>
          <w:szCs w:val="24"/>
        </w:rPr>
        <w:t>2016</w:t>
      </w:r>
      <w:r>
        <w:rPr>
          <w:rFonts w:hint="eastAsia"/>
          <w:sz w:val="24"/>
          <w:szCs w:val="24"/>
        </w:rPr>
        <w:t>年</w:t>
      </w:r>
      <w:r>
        <w:rPr>
          <w:sz w:val="24"/>
          <w:szCs w:val="24"/>
        </w:rPr>
        <w:t>7</w:t>
      </w:r>
      <w:r>
        <w:rPr>
          <w:rFonts w:hint="eastAsia"/>
          <w:sz w:val="24"/>
          <w:szCs w:val="24"/>
        </w:rPr>
        <w:t>月</w:t>
      </w:r>
      <w:r>
        <w:rPr>
          <w:sz w:val="24"/>
          <w:szCs w:val="24"/>
        </w:rPr>
        <w:t>“</w:t>
      </w:r>
      <w:r>
        <w:rPr>
          <w:rFonts w:hint="eastAsia"/>
          <w:sz w:val="24"/>
          <w:szCs w:val="24"/>
        </w:rPr>
        <w:t>趣分期</w:t>
      </w:r>
      <w:r>
        <w:rPr>
          <w:sz w:val="24"/>
          <w:szCs w:val="24"/>
        </w:rPr>
        <w:t>”</w:t>
      </w:r>
      <w:r>
        <w:rPr>
          <w:rFonts w:hint="eastAsia"/>
          <w:sz w:val="24"/>
          <w:szCs w:val="24"/>
        </w:rPr>
        <w:t>品牌战略正式升级为趣店集团，产品板块、服务对象、战略方向全面扩容升级，形成完整的产品矩阵，力争打造中国最大的分期购物平台。</w:t>
      </w:r>
    </w:p>
    <w:p>
      <w:pPr>
        <w:spacing w:before="156" w:beforeLines="50" w:after="156" w:afterLines="50"/>
        <w:jc w:val="left"/>
        <w:rPr>
          <w:sz w:val="24"/>
        </w:rPr>
      </w:pPr>
      <w:r>
        <w:rPr>
          <w:rFonts w:hint="eastAsia" w:ascii="宋体" w:hAnsi="宋体"/>
          <w:b/>
          <w:bCs/>
          <w:color w:val="FF0000"/>
          <w:sz w:val="32"/>
          <w:szCs w:val="20"/>
        </w:rPr>
        <w:t>公司荣誉</w:t>
      </w:r>
    </w:p>
    <w:p>
      <w:pPr>
        <w:spacing w:line="360" w:lineRule="auto"/>
        <w:rPr>
          <w:sz w:val="24"/>
          <w:szCs w:val="24"/>
        </w:rPr>
      </w:pPr>
      <w:r>
        <w:rPr>
          <w:rFonts w:hint="eastAsia" w:ascii="宋体" w:hAnsi="宋体" w:cs="宋体"/>
          <w:sz w:val="24"/>
          <w:szCs w:val="24"/>
        </w:rPr>
        <w:t>◎</w:t>
      </w:r>
      <w:r>
        <w:rPr>
          <w:sz w:val="24"/>
          <w:szCs w:val="24"/>
        </w:rPr>
        <w:t>2015</w:t>
      </w:r>
      <w:r>
        <w:rPr>
          <w:rFonts w:hint="eastAsia"/>
          <w:sz w:val="24"/>
          <w:szCs w:val="24"/>
        </w:rPr>
        <w:t>年</w:t>
      </w:r>
      <w:r>
        <w:rPr>
          <w:sz w:val="24"/>
          <w:szCs w:val="24"/>
        </w:rPr>
        <w:t>12</w:t>
      </w:r>
      <w:r>
        <w:rPr>
          <w:rFonts w:hint="eastAsia"/>
          <w:sz w:val="24"/>
          <w:szCs w:val="24"/>
        </w:rPr>
        <w:t>月金融科技百强榜单</w:t>
      </w:r>
      <w:r>
        <w:rPr>
          <w:sz w:val="24"/>
          <w:szCs w:val="24"/>
        </w:rPr>
        <w:t>(Fintech 100 2015)</w:t>
      </w:r>
      <w:r>
        <w:rPr>
          <w:rFonts w:hint="eastAsia"/>
          <w:sz w:val="24"/>
          <w:szCs w:val="24"/>
        </w:rPr>
        <w:t>发布，趣店居全球排名第四。</w:t>
      </w:r>
    </w:p>
    <w:p>
      <w:pPr>
        <w:spacing w:line="360" w:lineRule="auto"/>
        <w:rPr>
          <w:sz w:val="24"/>
          <w:szCs w:val="24"/>
        </w:rPr>
      </w:pPr>
      <w:r>
        <w:rPr>
          <w:rFonts w:hint="eastAsia" w:ascii="宋体" w:hAnsi="宋体" w:cs="宋体"/>
          <w:sz w:val="24"/>
          <w:szCs w:val="24"/>
        </w:rPr>
        <w:t>◎</w:t>
      </w:r>
      <w:r>
        <w:rPr>
          <w:sz w:val="24"/>
          <w:szCs w:val="24"/>
        </w:rPr>
        <w:t>2016</w:t>
      </w:r>
      <w:r>
        <w:rPr>
          <w:rFonts w:hint="eastAsia"/>
          <w:sz w:val="24"/>
          <w:szCs w:val="24"/>
        </w:rPr>
        <w:t>年</w:t>
      </w:r>
      <w:r>
        <w:rPr>
          <w:sz w:val="24"/>
          <w:szCs w:val="24"/>
        </w:rPr>
        <w:t>1</w:t>
      </w:r>
      <w:r>
        <w:rPr>
          <w:rFonts w:hint="eastAsia"/>
          <w:sz w:val="24"/>
          <w:szCs w:val="24"/>
        </w:rPr>
        <w:t>月趣店荣获</w:t>
      </w:r>
      <w:r>
        <w:rPr>
          <w:sz w:val="24"/>
          <w:szCs w:val="24"/>
        </w:rPr>
        <w:t>2016</w:t>
      </w:r>
      <w:r>
        <w:rPr>
          <w:rFonts w:hint="eastAsia"/>
          <w:sz w:val="24"/>
          <w:szCs w:val="24"/>
        </w:rPr>
        <w:t>胡润新金融</w:t>
      </w:r>
      <w:r>
        <w:rPr>
          <w:sz w:val="24"/>
          <w:szCs w:val="24"/>
        </w:rPr>
        <w:t>50</w:t>
      </w:r>
      <w:r>
        <w:rPr>
          <w:rFonts w:hint="eastAsia"/>
          <w:sz w:val="24"/>
          <w:szCs w:val="24"/>
        </w:rPr>
        <w:t>强称号。</w:t>
      </w:r>
    </w:p>
    <w:p>
      <w:pPr>
        <w:spacing w:line="360" w:lineRule="auto"/>
        <w:rPr>
          <w:sz w:val="24"/>
          <w:szCs w:val="24"/>
        </w:rPr>
      </w:pPr>
      <w:r>
        <w:rPr>
          <w:rFonts w:hint="eastAsia" w:ascii="宋体" w:hAnsi="宋体" w:cs="宋体"/>
          <w:sz w:val="24"/>
          <w:szCs w:val="24"/>
        </w:rPr>
        <w:t>◎</w:t>
      </w:r>
      <w:r>
        <w:rPr>
          <w:sz w:val="24"/>
          <w:szCs w:val="24"/>
        </w:rPr>
        <w:t>2016</w:t>
      </w:r>
      <w:r>
        <w:rPr>
          <w:rFonts w:hint="eastAsia"/>
          <w:sz w:val="24"/>
          <w:szCs w:val="24"/>
        </w:rPr>
        <w:t>年</w:t>
      </w:r>
      <w:r>
        <w:rPr>
          <w:sz w:val="24"/>
          <w:szCs w:val="24"/>
        </w:rPr>
        <w:t>8</w:t>
      </w:r>
      <w:r>
        <w:rPr>
          <w:rFonts w:hint="eastAsia"/>
          <w:sz w:val="24"/>
          <w:szCs w:val="24"/>
        </w:rPr>
        <w:t>月美国商务部国际贸易管理局（</w:t>
      </w:r>
      <w:r>
        <w:rPr>
          <w:sz w:val="24"/>
          <w:szCs w:val="24"/>
        </w:rPr>
        <w:t>ITA</w:t>
      </w:r>
      <w:r>
        <w:rPr>
          <w:rFonts w:hint="eastAsia"/>
          <w:sz w:val="24"/>
          <w:szCs w:val="24"/>
        </w:rPr>
        <w:t>）发布《</w:t>
      </w:r>
      <w:r>
        <w:rPr>
          <w:sz w:val="24"/>
          <w:szCs w:val="24"/>
        </w:rPr>
        <w:t>2016</w:t>
      </w:r>
      <w:r>
        <w:rPr>
          <w:rFonts w:hint="eastAsia"/>
          <w:sz w:val="24"/>
          <w:szCs w:val="24"/>
        </w:rPr>
        <w:t>全球市场报告金融科技系列》趣店上榜。</w:t>
      </w:r>
    </w:p>
    <w:p>
      <w:pPr>
        <w:spacing w:line="360" w:lineRule="auto"/>
        <w:rPr>
          <w:rFonts w:ascii="宋体" w:hAnsi="宋体"/>
          <w:b/>
          <w:bCs/>
          <w:color w:val="FF0000"/>
          <w:sz w:val="32"/>
          <w:szCs w:val="20"/>
        </w:rPr>
      </w:pPr>
      <w:r>
        <w:rPr>
          <w:rFonts w:hint="eastAsia" w:ascii="宋体" w:hAnsi="宋体" w:cs="宋体"/>
          <w:sz w:val="24"/>
          <w:szCs w:val="24"/>
        </w:rPr>
        <w:t>◎</w:t>
      </w:r>
      <w:r>
        <w:rPr>
          <w:sz w:val="24"/>
          <w:szCs w:val="24"/>
        </w:rPr>
        <w:t>2016</w:t>
      </w:r>
      <w:r>
        <w:rPr>
          <w:rFonts w:hint="eastAsia"/>
          <w:sz w:val="24"/>
          <w:szCs w:val="24"/>
        </w:rPr>
        <w:t>年</w:t>
      </w:r>
      <w:r>
        <w:rPr>
          <w:sz w:val="24"/>
          <w:szCs w:val="24"/>
        </w:rPr>
        <w:t>9</w:t>
      </w:r>
      <w:r>
        <w:rPr>
          <w:rFonts w:hint="eastAsia"/>
          <w:sz w:val="24"/>
          <w:szCs w:val="24"/>
        </w:rPr>
        <w:t>月</w:t>
      </w:r>
      <w:r>
        <w:rPr>
          <w:sz w:val="24"/>
          <w:szCs w:val="24"/>
        </w:rPr>
        <w:t>Visual Capitalist</w:t>
      </w:r>
      <w:r>
        <w:rPr>
          <w:rFonts w:hint="eastAsia"/>
          <w:sz w:val="24"/>
          <w:szCs w:val="24"/>
        </w:rPr>
        <w:t>报告数据，全球目前</w:t>
      </w:r>
      <w:r>
        <w:rPr>
          <w:sz w:val="24"/>
          <w:szCs w:val="24"/>
        </w:rPr>
        <w:t>27</w:t>
      </w:r>
      <w:r>
        <w:rPr>
          <w:rFonts w:hint="eastAsia"/>
          <w:sz w:val="24"/>
          <w:szCs w:val="24"/>
        </w:rPr>
        <w:t>家金融科技</w:t>
      </w:r>
      <w:r>
        <w:rPr>
          <w:sz w:val="24"/>
          <w:szCs w:val="24"/>
        </w:rPr>
        <w:t>“</w:t>
      </w:r>
      <w:r>
        <w:rPr>
          <w:rFonts w:hint="eastAsia"/>
          <w:sz w:val="24"/>
          <w:szCs w:val="24"/>
        </w:rPr>
        <w:t>独角兽</w:t>
      </w:r>
      <w:r>
        <w:rPr>
          <w:sz w:val="24"/>
          <w:szCs w:val="24"/>
        </w:rPr>
        <w:t>”</w:t>
      </w:r>
      <w:r>
        <w:rPr>
          <w:rFonts w:hint="eastAsia"/>
          <w:sz w:val="24"/>
          <w:szCs w:val="24"/>
        </w:rPr>
        <w:t>趣店排名第四。</w:t>
      </w:r>
    </w:p>
    <w:p>
      <w:pPr>
        <w:spacing w:before="156" w:beforeLines="50" w:after="156" w:afterLines="50"/>
        <w:jc w:val="left"/>
        <w:rPr>
          <w:rFonts w:ascii="宋体" w:hAnsi="宋体"/>
          <w:b/>
          <w:bCs/>
          <w:color w:val="FF0000"/>
          <w:sz w:val="32"/>
          <w:szCs w:val="20"/>
        </w:rPr>
      </w:pPr>
      <w:r>
        <w:rPr>
          <w:rFonts w:hint="eastAsia" w:ascii="宋体" w:hAnsi="宋体"/>
          <w:b/>
          <w:bCs/>
          <w:color w:val="FF0000"/>
          <w:sz w:val="32"/>
          <w:szCs w:val="20"/>
        </w:rPr>
        <w:t>创始人简介</w:t>
      </w:r>
    </w:p>
    <w:p>
      <w:pPr>
        <w:spacing w:line="360" w:lineRule="auto"/>
        <w:rPr>
          <w:sz w:val="24"/>
          <w:szCs w:val="24"/>
        </w:rPr>
      </w:pPr>
      <w:r>
        <w:rPr>
          <w:rFonts w:hint="eastAsia"/>
          <w:sz w:val="24"/>
          <w:szCs w:val="24"/>
        </w:rPr>
        <w:t xml:space="preserve">     罗敏，连续创业者，趣店集团创始人</w:t>
      </w:r>
      <w:r>
        <w:rPr>
          <w:sz w:val="24"/>
          <w:szCs w:val="24"/>
        </w:rPr>
        <w:t>&amp;CEO</w:t>
      </w:r>
      <w:r>
        <w:rPr>
          <w:rFonts w:hint="eastAsia"/>
          <w:sz w:val="24"/>
          <w:szCs w:val="24"/>
        </w:rPr>
        <w:t>。</w:t>
      </w:r>
      <w:r>
        <w:rPr>
          <w:sz w:val="24"/>
          <w:szCs w:val="24"/>
        </w:rPr>
        <w:t>1983</w:t>
      </w:r>
      <w:r>
        <w:rPr>
          <w:rFonts w:hint="eastAsia"/>
          <w:sz w:val="24"/>
          <w:szCs w:val="24"/>
        </w:rPr>
        <w:t>年出生，</w:t>
      </w:r>
      <w:r>
        <w:rPr>
          <w:sz w:val="24"/>
          <w:szCs w:val="24"/>
        </w:rPr>
        <w:t>2005</w:t>
      </w:r>
      <w:r>
        <w:rPr>
          <w:rFonts w:hint="eastAsia"/>
          <w:sz w:val="24"/>
          <w:szCs w:val="24"/>
        </w:rPr>
        <w:t>年开始独立创业，于</w:t>
      </w:r>
      <w:r>
        <w:rPr>
          <w:sz w:val="24"/>
          <w:szCs w:val="24"/>
        </w:rPr>
        <w:t>2010</w:t>
      </w:r>
      <w:r>
        <w:rPr>
          <w:rFonts w:hint="eastAsia"/>
          <w:sz w:val="24"/>
          <w:szCs w:val="24"/>
        </w:rPr>
        <w:t>年加盟好乐买创始团队，</w:t>
      </w:r>
      <w:r>
        <w:rPr>
          <w:sz w:val="24"/>
          <w:szCs w:val="24"/>
        </w:rPr>
        <w:t>2013</w:t>
      </w:r>
      <w:r>
        <w:rPr>
          <w:rFonts w:hint="eastAsia"/>
          <w:sz w:val="24"/>
          <w:szCs w:val="24"/>
        </w:rPr>
        <w:t>年再次创业，</w:t>
      </w:r>
      <w:r>
        <w:rPr>
          <w:sz w:val="24"/>
          <w:szCs w:val="24"/>
        </w:rPr>
        <w:t>2014</w:t>
      </w:r>
      <w:r>
        <w:rPr>
          <w:rFonts w:hint="eastAsia"/>
          <w:sz w:val="24"/>
          <w:szCs w:val="24"/>
        </w:rPr>
        <w:t>年</w:t>
      </w:r>
      <w:r>
        <w:rPr>
          <w:sz w:val="24"/>
          <w:szCs w:val="24"/>
        </w:rPr>
        <w:t>3</w:t>
      </w:r>
      <w:r>
        <w:rPr>
          <w:rFonts w:hint="eastAsia"/>
          <w:sz w:val="24"/>
          <w:szCs w:val="24"/>
        </w:rPr>
        <w:t>月创立趣店集团。</w:t>
      </w:r>
    </w:p>
    <w:p>
      <w:pPr>
        <w:spacing w:line="360" w:lineRule="auto"/>
        <w:rPr>
          <w:sz w:val="24"/>
          <w:szCs w:val="24"/>
        </w:rPr>
      </w:pPr>
      <w:r>
        <w:rPr>
          <w:sz w:val="24"/>
          <w:szCs w:val="24"/>
        </w:rPr>
        <w:t>2016</w:t>
      </w:r>
      <w:r>
        <w:rPr>
          <w:rFonts w:hint="eastAsia"/>
          <w:sz w:val="24"/>
          <w:szCs w:val="24"/>
        </w:rPr>
        <w:t>年</w:t>
      </w:r>
      <w:r>
        <w:rPr>
          <w:sz w:val="24"/>
          <w:szCs w:val="24"/>
        </w:rPr>
        <w:t>1</w:t>
      </w:r>
      <w:r>
        <w:rPr>
          <w:rFonts w:hint="eastAsia"/>
          <w:sz w:val="24"/>
          <w:szCs w:val="24"/>
        </w:rPr>
        <w:t>月，罗敏获得江西经济影响力年度人物。</w:t>
      </w:r>
    </w:p>
    <w:p>
      <w:pPr>
        <w:spacing w:line="360" w:lineRule="auto"/>
        <w:rPr>
          <w:sz w:val="24"/>
          <w:szCs w:val="24"/>
        </w:rPr>
      </w:pPr>
      <w:r>
        <w:rPr>
          <w:sz w:val="24"/>
          <w:szCs w:val="24"/>
        </w:rPr>
        <w:t>2016</w:t>
      </w:r>
      <w:r>
        <w:rPr>
          <w:rFonts w:hint="eastAsia"/>
          <w:sz w:val="24"/>
          <w:szCs w:val="24"/>
        </w:rPr>
        <w:t>年</w:t>
      </w:r>
      <w:r>
        <w:rPr>
          <w:sz w:val="24"/>
          <w:szCs w:val="24"/>
        </w:rPr>
        <w:t>4</w:t>
      </w:r>
      <w:r>
        <w:rPr>
          <w:rFonts w:hint="eastAsia"/>
          <w:sz w:val="24"/>
          <w:szCs w:val="24"/>
        </w:rPr>
        <w:t>月，罗敏由胡润百富榜评选为</w:t>
      </w:r>
      <w:r>
        <w:rPr>
          <w:sz w:val="24"/>
          <w:szCs w:val="24"/>
        </w:rPr>
        <w:t>“</w:t>
      </w:r>
      <w:r>
        <w:rPr>
          <w:rFonts w:hint="eastAsia"/>
          <w:sz w:val="24"/>
          <w:szCs w:val="24"/>
        </w:rPr>
        <w:t>中国十大</w:t>
      </w:r>
      <w:r>
        <w:rPr>
          <w:sz w:val="24"/>
          <w:szCs w:val="24"/>
        </w:rPr>
        <w:t>80</w:t>
      </w:r>
      <w:r>
        <w:rPr>
          <w:rFonts w:hint="eastAsia"/>
          <w:sz w:val="24"/>
          <w:szCs w:val="24"/>
        </w:rPr>
        <w:t>后创业家</w:t>
      </w:r>
      <w:r>
        <w:rPr>
          <w:sz w:val="24"/>
          <w:szCs w:val="24"/>
        </w:rPr>
        <w:t>”</w:t>
      </w:r>
      <w:r>
        <w:rPr>
          <w:rFonts w:hint="eastAsia"/>
          <w:sz w:val="24"/>
          <w:szCs w:val="24"/>
        </w:rPr>
        <w:t>。</w:t>
      </w:r>
    </w:p>
    <w:p>
      <w:pPr>
        <w:spacing w:line="360" w:lineRule="auto"/>
        <w:rPr>
          <w:sz w:val="24"/>
          <w:szCs w:val="24"/>
        </w:rPr>
      </w:pPr>
      <w:r>
        <w:rPr>
          <w:sz w:val="24"/>
          <w:szCs w:val="24"/>
        </w:rPr>
        <w:t>2016</w:t>
      </w:r>
      <w:r>
        <w:rPr>
          <w:rFonts w:hint="eastAsia"/>
          <w:sz w:val="24"/>
          <w:szCs w:val="24"/>
        </w:rPr>
        <w:t>年</w:t>
      </w:r>
      <w:r>
        <w:rPr>
          <w:sz w:val="24"/>
          <w:szCs w:val="24"/>
        </w:rPr>
        <w:t>5</w:t>
      </w:r>
      <w:r>
        <w:rPr>
          <w:rFonts w:hint="eastAsia"/>
          <w:sz w:val="24"/>
          <w:szCs w:val="24"/>
        </w:rPr>
        <w:t>月，罗敏被选举为江西省抚州市人大代表，宜黄县人大常委。</w:t>
      </w:r>
    </w:p>
    <w:p>
      <w:pPr>
        <w:spacing w:line="360" w:lineRule="auto"/>
        <w:rPr>
          <w:rFonts w:ascii="宋体" w:hAnsi="宋体"/>
          <w:b/>
          <w:bCs/>
          <w:color w:val="FF0000"/>
          <w:sz w:val="32"/>
          <w:szCs w:val="20"/>
        </w:rPr>
      </w:pPr>
      <w:r>
        <w:rPr>
          <w:sz w:val="24"/>
          <w:szCs w:val="24"/>
        </w:rPr>
        <w:t>2016</w:t>
      </w:r>
      <w:r>
        <w:rPr>
          <w:rFonts w:hint="eastAsia"/>
          <w:sz w:val="24"/>
          <w:szCs w:val="24"/>
        </w:rPr>
        <w:t>年</w:t>
      </w:r>
      <w:r>
        <w:rPr>
          <w:sz w:val="24"/>
          <w:szCs w:val="24"/>
        </w:rPr>
        <w:t>7</w:t>
      </w:r>
      <w:r>
        <w:rPr>
          <w:rFonts w:hint="eastAsia"/>
          <w:sz w:val="24"/>
          <w:szCs w:val="24"/>
        </w:rPr>
        <w:t>月，第五届中国财经峰会罗敏获评</w:t>
      </w:r>
      <w:r>
        <w:rPr>
          <w:sz w:val="24"/>
          <w:szCs w:val="24"/>
        </w:rPr>
        <w:t>2016</w:t>
      </w:r>
      <w:r>
        <w:rPr>
          <w:rFonts w:hint="eastAsia"/>
          <w:sz w:val="24"/>
          <w:szCs w:val="24"/>
        </w:rPr>
        <w:t>（行业）影响力人物奖。</w:t>
      </w:r>
    </w:p>
    <w:p>
      <w:pPr>
        <w:spacing w:before="156" w:beforeLines="50" w:after="156" w:afterLines="50"/>
        <w:jc w:val="left"/>
        <w:rPr>
          <w:rFonts w:ascii="宋体" w:hAnsi="宋体"/>
          <w:b/>
          <w:bCs/>
          <w:color w:val="FF0000"/>
          <w:sz w:val="32"/>
          <w:szCs w:val="20"/>
        </w:rPr>
      </w:pPr>
      <w:r>
        <w:rPr>
          <w:rFonts w:hint="eastAsia" w:ascii="宋体" w:hAnsi="宋体"/>
          <w:b/>
          <w:bCs/>
          <w:color w:val="FF0000"/>
          <w:sz w:val="32"/>
          <w:szCs w:val="20"/>
        </w:rPr>
        <w:t>招聘岗位</w:t>
      </w:r>
    </w:p>
    <w:p>
      <w:pPr>
        <w:spacing w:before="156" w:beforeLines="50" w:after="156" w:afterLines="50" w:line="360" w:lineRule="auto"/>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面向人群：2017 届应届毕业生</w:t>
      </w:r>
    </w:p>
    <w:p>
      <w:pPr>
        <w:spacing w:before="156" w:beforeLines="50" w:after="156" w:afterLines="50" w:line="360" w:lineRule="auto"/>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工作地点：北京总部</w:t>
      </w:r>
    </w:p>
    <w:p>
      <w:pPr>
        <w:spacing w:before="156" w:beforeLines="50" w:after="156" w:afterLines="50" w:line="360" w:lineRule="auto"/>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网申地址：http://www.minixiao.com/company/st/17101.html</w:t>
      </w:r>
    </w:p>
    <w:p>
      <w:pPr>
        <w:numPr>
          <w:ilvl w:val="0"/>
          <w:numId w:val="1"/>
        </w:numPr>
        <w:spacing w:line="360" w:lineRule="auto"/>
        <w:rPr>
          <w:rFonts w:ascii="宋体" w:hAnsi="宋体"/>
          <w:b/>
          <w:bCs/>
          <w:color w:val="FF0000"/>
          <w:sz w:val="24"/>
          <w:szCs w:val="24"/>
        </w:rPr>
      </w:pPr>
      <w:r>
        <w:rPr>
          <w:rFonts w:hint="eastAsia" w:ascii="宋体" w:hAnsi="宋体"/>
          <w:b/>
          <w:bCs/>
          <w:color w:val="FF0000"/>
          <w:sz w:val="24"/>
          <w:szCs w:val="24"/>
        </w:rPr>
        <w:t>研发类岗位招聘（招聘人数：40人）</w:t>
      </w:r>
    </w:p>
    <w:p>
      <w:pPr>
        <w:overflowPunct w:val="0"/>
        <w:spacing w:line="360" w:lineRule="auto"/>
        <w:ind w:right="2240"/>
        <w:jc w:val="left"/>
        <w:rPr>
          <w:rFonts w:ascii="宋体" w:hAnsi="宋体"/>
          <w:b/>
          <w:bCs/>
          <w:sz w:val="24"/>
          <w:szCs w:val="24"/>
        </w:rPr>
      </w:pPr>
      <w:r>
        <w:rPr>
          <w:rFonts w:hint="eastAsia" w:ascii="宋体" w:hAnsi="宋体"/>
          <w:b/>
          <w:bCs/>
          <w:sz w:val="24"/>
          <w:szCs w:val="24"/>
        </w:rPr>
        <w:t>岗位职责：</w:t>
      </w:r>
    </w:p>
    <w:p>
      <w:pPr>
        <w:spacing w:line="360" w:lineRule="auto"/>
        <w:ind w:firstLine="420"/>
        <w:rPr>
          <w:sz w:val="24"/>
          <w:szCs w:val="24"/>
        </w:rPr>
      </w:pPr>
      <w:r>
        <w:rPr>
          <w:sz w:val="24"/>
          <w:szCs w:val="24"/>
        </w:rPr>
        <w:t>1</w:t>
      </w:r>
      <w:r>
        <w:rPr>
          <w:rFonts w:hint="eastAsia"/>
          <w:sz w:val="24"/>
          <w:szCs w:val="24"/>
        </w:rPr>
        <w:t>、负责趣店集团电商与金融业务产品的研发与维护作；</w:t>
      </w:r>
    </w:p>
    <w:p>
      <w:pPr>
        <w:spacing w:line="360" w:lineRule="auto"/>
        <w:ind w:firstLine="420"/>
        <w:jc w:val="left"/>
        <w:rPr>
          <w:sz w:val="24"/>
          <w:szCs w:val="24"/>
        </w:rPr>
      </w:pPr>
      <w:r>
        <w:rPr>
          <w:rFonts w:ascii="Arial" w:hAnsi="Arial"/>
          <w:sz w:val="24"/>
          <w:szCs w:val="24"/>
        </w:rPr>
        <w:t>2</w:t>
      </w:r>
      <w:r>
        <w:rPr>
          <w:rFonts w:hint="eastAsia" w:ascii="宋体" w:hAnsi="宋体"/>
          <w:sz w:val="24"/>
          <w:szCs w:val="24"/>
        </w:rPr>
        <w:t>、负责趣店集团相关业务数据、流量数据、风控数据等的计算分析工作；</w:t>
      </w:r>
    </w:p>
    <w:p>
      <w:pPr>
        <w:spacing w:line="360" w:lineRule="auto"/>
        <w:ind w:firstLine="420"/>
        <w:rPr>
          <w:sz w:val="24"/>
          <w:szCs w:val="24"/>
        </w:rPr>
      </w:pPr>
      <w:r>
        <w:rPr>
          <w:rFonts w:hint="eastAsia"/>
          <w:sz w:val="24"/>
          <w:szCs w:val="24"/>
        </w:rPr>
        <w:t>3、负责所有线上业务技术的质量保证工作。</w:t>
      </w:r>
    </w:p>
    <w:p>
      <w:pPr>
        <w:overflowPunct w:val="0"/>
        <w:spacing w:line="360" w:lineRule="auto"/>
        <w:ind w:right="3500"/>
        <w:jc w:val="left"/>
        <w:rPr>
          <w:sz w:val="24"/>
          <w:szCs w:val="24"/>
        </w:rPr>
      </w:pPr>
      <w:r>
        <w:rPr>
          <w:rFonts w:hint="eastAsia"/>
          <w:b/>
          <w:bCs/>
          <w:sz w:val="24"/>
          <w:szCs w:val="24"/>
        </w:rPr>
        <w:t>岗位要求：</w:t>
      </w:r>
    </w:p>
    <w:p>
      <w:pPr>
        <w:spacing w:line="360" w:lineRule="auto"/>
        <w:ind w:firstLine="420"/>
        <w:jc w:val="left"/>
        <w:rPr>
          <w:rFonts w:ascii="宋体" w:hAnsi="宋体"/>
          <w:sz w:val="24"/>
          <w:szCs w:val="24"/>
        </w:rPr>
      </w:pPr>
      <w:r>
        <w:rPr>
          <w:rFonts w:ascii="宋体" w:hAnsi="宋体"/>
          <w:sz w:val="24"/>
          <w:szCs w:val="24"/>
        </w:rPr>
        <w:t>1</w:t>
      </w:r>
      <w:r>
        <w:rPr>
          <w:rFonts w:hint="eastAsia" w:ascii="宋体" w:hAnsi="宋体"/>
          <w:sz w:val="24"/>
          <w:szCs w:val="24"/>
        </w:rPr>
        <w:t>、全日制本科及研究生以上学历，计算机相关专业；</w:t>
      </w:r>
    </w:p>
    <w:p>
      <w:pPr>
        <w:spacing w:line="360" w:lineRule="auto"/>
        <w:ind w:firstLine="420"/>
        <w:jc w:val="left"/>
        <w:rPr>
          <w:rFonts w:ascii="宋体" w:hAnsi="宋体"/>
          <w:sz w:val="24"/>
          <w:szCs w:val="24"/>
        </w:rPr>
      </w:pPr>
      <w:r>
        <w:rPr>
          <w:rFonts w:ascii="宋体" w:hAnsi="宋体"/>
          <w:sz w:val="24"/>
          <w:szCs w:val="24"/>
        </w:rPr>
        <w:t>2</w:t>
      </w:r>
      <w:r>
        <w:rPr>
          <w:rFonts w:hint="eastAsia" w:ascii="宋体" w:hAnsi="宋体"/>
          <w:sz w:val="24"/>
          <w:szCs w:val="24"/>
        </w:rPr>
        <w:t>、至少掌握一门开发语言，如</w:t>
      </w:r>
      <w:r>
        <w:rPr>
          <w:rFonts w:ascii="宋体" w:hAnsi="宋体"/>
          <w:sz w:val="24"/>
          <w:szCs w:val="24"/>
        </w:rPr>
        <w:t xml:space="preserve"> Javascript / PHP / Java / Python / Go / C(C++)/ Swift / Shell </w:t>
      </w:r>
      <w:r>
        <w:rPr>
          <w:rFonts w:hint="eastAsia" w:ascii="宋体" w:hAnsi="宋体"/>
          <w:sz w:val="24"/>
          <w:szCs w:val="24"/>
        </w:rPr>
        <w:t>等，有直接可呈现的成果者优先；</w:t>
      </w:r>
    </w:p>
    <w:p>
      <w:pPr>
        <w:spacing w:line="360" w:lineRule="auto"/>
        <w:ind w:firstLine="420"/>
        <w:jc w:val="left"/>
        <w:rPr>
          <w:rFonts w:ascii="宋体" w:hAnsi="宋体"/>
          <w:sz w:val="24"/>
          <w:szCs w:val="24"/>
        </w:rPr>
      </w:pPr>
      <w:r>
        <w:rPr>
          <w:rFonts w:ascii="宋体" w:hAnsi="宋体"/>
          <w:sz w:val="24"/>
          <w:szCs w:val="24"/>
        </w:rPr>
        <w:t>3</w:t>
      </w:r>
      <w:r>
        <w:rPr>
          <w:rFonts w:hint="eastAsia" w:ascii="宋体" w:hAnsi="宋体"/>
          <w:sz w:val="24"/>
          <w:szCs w:val="24"/>
        </w:rPr>
        <w:t>、至少掌握一门数据库开发，如</w:t>
      </w:r>
      <w:r>
        <w:rPr>
          <w:rFonts w:ascii="宋体" w:hAnsi="宋体"/>
          <w:sz w:val="24"/>
          <w:szCs w:val="24"/>
        </w:rPr>
        <w:t xml:space="preserve"> MySQL / SQL Server / Oracle / Mongodb</w:t>
      </w:r>
      <w:r>
        <w:rPr>
          <w:rFonts w:hint="eastAsia" w:ascii="宋体" w:hAnsi="宋体"/>
          <w:sz w:val="24"/>
          <w:szCs w:val="24"/>
        </w:rPr>
        <w:t xml:space="preserve">等，擅长 </w:t>
      </w:r>
      <w:r>
        <w:rPr>
          <w:rFonts w:ascii="宋体" w:hAnsi="宋体"/>
          <w:sz w:val="24"/>
          <w:szCs w:val="24"/>
        </w:rPr>
        <w:t>SQL</w:t>
      </w:r>
      <w:r>
        <w:rPr>
          <w:rFonts w:hint="eastAsia" w:ascii="宋体" w:hAnsi="宋体"/>
          <w:sz w:val="24"/>
          <w:szCs w:val="24"/>
        </w:rPr>
        <w:t xml:space="preserve"> 优化者优先；</w:t>
      </w:r>
    </w:p>
    <w:p>
      <w:pPr>
        <w:spacing w:line="360" w:lineRule="auto"/>
        <w:ind w:firstLine="420"/>
        <w:jc w:val="left"/>
        <w:rPr>
          <w:rFonts w:ascii="宋体" w:hAnsi="宋体"/>
          <w:sz w:val="24"/>
          <w:szCs w:val="24"/>
        </w:rPr>
      </w:pPr>
      <w:r>
        <w:rPr>
          <w:rFonts w:ascii="宋体" w:hAnsi="宋体"/>
          <w:sz w:val="24"/>
          <w:szCs w:val="24"/>
        </w:rPr>
        <w:t>4</w:t>
      </w:r>
      <w:r>
        <w:rPr>
          <w:rFonts w:hint="eastAsia" w:ascii="宋体" w:hAnsi="宋体"/>
          <w:sz w:val="24"/>
          <w:szCs w:val="24"/>
        </w:rPr>
        <w:t>、熟悉</w:t>
      </w:r>
      <w:r>
        <w:rPr>
          <w:rFonts w:ascii="宋体" w:hAnsi="宋体"/>
          <w:sz w:val="24"/>
          <w:szCs w:val="24"/>
        </w:rPr>
        <w:t xml:space="preserve"> Node.js</w:t>
      </w:r>
      <w:r>
        <w:rPr>
          <w:rFonts w:hint="eastAsia" w:ascii="宋体" w:hAnsi="宋体"/>
          <w:sz w:val="24"/>
          <w:szCs w:val="24"/>
        </w:rPr>
        <w:t>、</w:t>
      </w:r>
      <w:r>
        <w:rPr>
          <w:rFonts w:ascii="宋体" w:hAnsi="宋体"/>
          <w:sz w:val="24"/>
          <w:szCs w:val="24"/>
        </w:rPr>
        <w:t>Redis</w:t>
      </w:r>
      <w:r>
        <w:rPr>
          <w:rFonts w:hint="eastAsia" w:ascii="宋体" w:hAnsi="宋体"/>
          <w:sz w:val="24"/>
          <w:szCs w:val="24"/>
        </w:rPr>
        <w:t>、</w:t>
      </w:r>
      <w:r>
        <w:rPr>
          <w:rFonts w:ascii="宋体" w:hAnsi="宋体"/>
          <w:sz w:val="24"/>
          <w:szCs w:val="24"/>
        </w:rPr>
        <w:t>Kafka</w:t>
      </w:r>
      <w:r>
        <w:rPr>
          <w:rFonts w:hint="eastAsia" w:ascii="宋体" w:hAnsi="宋体"/>
          <w:sz w:val="24"/>
          <w:szCs w:val="24"/>
        </w:rPr>
        <w:t>、</w:t>
      </w:r>
      <w:r>
        <w:rPr>
          <w:rFonts w:ascii="宋体" w:hAnsi="宋体"/>
          <w:sz w:val="24"/>
          <w:szCs w:val="24"/>
        </w:rPr>
        <w:t>RabbitMQ</w:t>
      </w:r>
      <w:r>
        <w:rPr>
          <w:rFonts w:hint="eastAsia" w:ascii="宋体" w:hAnsi="宋体"/>
          <w:sz w:val="24"/>
          <w:szCs w:val="24"/>
        </w:rPr>
        <w:t>、</w:t>
      </w:r>
      <w:r>
        <w:rPr>
          <w:rFonts w:ascii="宋体" w:hAnsi="宋体"/>
          <w:sz w:val="24"/>
          <w:szCs w:val="24"/>
        </w:rPr>
        <w:t xml:space="preserve">Laravel </w:t>
      </w:r>
      <w:r>
        <w:rPr>
          <w:rFonts w:hint="eastAsia" w:ascii="宋体" w:hAnsi="宋体"/>
          <w:sz w:val="24"/>
          <w:szCs w:val="24"/>
        </w:rPr>
        <w:t>相关技术者优先；</w:t>
      </w:r>
    </w:p>
    <w:p>
      <w:pPr>
        <w:spacing w:line="360" w:lineRule="auto"/>
        <w:ind w:firstLine="420"/>
        <w:jc w:val="left"/>
        <w:rPr>
          <w:rFonts w:ascii="宋体" w:hAnsi="宋体"/>
          <w:sz w:val="24"/>
          <w:szCs w:val="24"/>
        </w:rPr>
      </w:pPr>
      <w:r>
        <w:rPr>
          <w:rFonts w:ascii="宋体" w:hAnsi="宋体"/>
          <w:sz w:val="24"/>
          <w:szCs w:val="24"/>
        </w:rPr>
        <w:t>5</w:t>
      </w:r>
      <w:r>
        <w:rPr>
          <w:rFonts w:hint="eastAsia" w:ascii="宋体" w:hAnsi="宋体"/>
          <w:sz w:val="24"/>
          <w:szCs w:val="24"/>
        </w:rPr>
        <w:t>、熟悉</w:t>
      </w:r>
      <w:r>
        <w:rPr>
          <w:rFonts w:ascii="宋体" w:hAnsi="宋体"/>
          <w:sz w:val="24"/>
          <w:szCs w:val="24"/>
        </w:rPr>
        <w:t xml:space="preserve"> Linux </w:t>
      </w:r>
      <w:r>
        <w:rPr>
          <w:rFonts w:hint="eastAsia" w:ascii="宋体" w:hAnsi="宋体"/>
          <w:sz w:val="24"/>
          <w:szCs w:val="24"/>
        </w:rPr>
        <w:t>平台者优先、熟悉</w:t>
      </w:r>
      <w:r>
        <w:rPr>
          <w:rFonts w:ascii="宋体" w:hAnsi="宋体"/>
          <w:sz w:val="24"/>
          <w:szCs w:val="24"/>
        </w:rPr>
        <w:t xml:space="preserve"> LNMP </w:t>
      </w:r>
      <w:r>
        <w:rPr>
          <w:rFonts w:hint="eastAsia" w:ascii="宋体" w:hAnsi="宋体"/>
          <w:sz w:val="24"/>
          <w:szCs w:val="24"/>
        </w:rPr>
        <w:t>架构开发者优先、熟悉</w:t>
      </w:r>
      <w:r>
        <w:rPr>
          <w:rFonts w:ascii="宋体" w:hAnsi="宋体"/>
          <w:sz w:val="24"/>
          <w:szCs w:val="24"/>
        </w:rPr>
        <w:t xml:space="preserve"> Hadoop </w:t>
      </w:r>
      <w:r>
        <w:rPr>
          <w:rFonts w:hint="eastAsia" w:ascii="宋体" w:hAnsi="宋体"/>
          <w:sz w:val="24"/>
          <w:szCs w:val="24"/>
        </w:rPr>
        <w:t xml:space="preserve">平台者优先、熟悉 </w:t>
      </w:r>
      <w:r>
        <w:rPr>
          <w:rFonts w:ascii="宋体" w:hAnsi="宋体"/>
          <w:sz w:val="24"/>
          <w:szCs w:val="24"/>
        </w:rPr>
        <w:t>HTTP</w:t>
      </w:r>
      <w:r>
        <w:rPr>
          <w:rFonts w:hint="eastAsia" w:ascii="宋体" w:hAnsi="宋体"/>
          <w:sz w:val="24"/>
          <w:szCs w:val="24"/>
        </w:rPr>
        <w:t xml:space="preserve"> 协议、熟悉网络通信原理、熟悉 </w:t>
      </w:r>
      <w:r>
        <w:rPr>
          <w:rFonts w:ascii="宋体" w:hAnsi="宋体"/>
          <w:sz w:val="24"/>
          <w:szCs w:val="24"/>
        </w:rPr>
        <w:t>MVC</w:t>
      </w:r>
      <w:r>
        <w:rPr>
          <w:rFonts w:hint="eastAsia" w:ascii="宋体" w:hAnsi="宋体"/>
          <w:sz w:val="24"/>
          <w:szCs w:val="24"/>
        </w:rPr>
        <w:t xml:space="preserve"> 框架者优先；</w:t>
      </w:r>
    </w:p>
    <w:p>
      <w:pPr>
        <w:spacing w:line="360" w:lineRule="auto"/>
        <w:ind w:firstLine="420"/>
        <w:jc w:val="left"/>
        <w:rPr>
          <w:rFonts w:ascii="宋体" w:hAnsi="宋体"/>
          <w:sz w:val="24"/>
          <w:szCs w:val="24"/>
        </w:rPr>
      </w:pPr>
      <w:r>
        <w:rPr>
          <w:rFonts w:ascii="宋体" w:hAnsi="宋体"/>
          <w:sz w:val="24"/>
          <w:szCs w:val="24"/>
        </w:rPr>
        <w:t>6</w:t>
      </w:r>
      <w:r>
        <w:rPr>
          <w:rFonts w:hint="eastAsia" w:ascii="宋体" w:hAnsi="宋体"/>
          <w:sz w:val="24"/>
          <w:szCs w:val="24"/>
        </w:rPr>
        <w:t>、具有优秀的沟通协调能力、能承受较大工作压力；</w:t>
      </w:r>
    </w:p>
    <w:p>
      <w:pPr>
        <w:spacing w:line="360" w:lineRule="auto"/>
        <w:ind w:firstLine="420"/>
        <w:jc w:val="left"/>
        <w:rPr>
          <w:rFonts w:ascii="宋体" w:hAnsi="宋体"/>
          <w:sz w:val="24"/>
          <w:szCs w:val="24"/>
        </w:rPr>
      </w:pPr>
      <w:r>
        <w:rPr>
          <w:rFonts w:ascii="宋体" w:hAnsi="宋体"/>
          <w:sz w:val="24"/>
          <w:szCs w:val="24"/>
        </w:rPr>
        <w:t>7</w:t>
      </w:r>
      <w:r>
        <w:rPr>
          <w:rFonts w:hint="eastAsia" w:ascii="宋体" w:hAnsi="宋体"/>
          <w:sz w:val="24"/>
          <w:szCs w:val="24"/>
        </w:rPr>
        <w:t>、具有开放、创新思维与综合管理发展潜质。</w:t>
      </w:r>
    </w:p>
    <w:p>
      <w:pPr>
        <w:spacing w:line="360" w:lineRule="auto"/>
        <w:rPr>
          <w:rFonts w:ascii="宋体" w:hAnsi="宋体"/>
          <w:b/>
          <w:bCs/>
          <w:color w:val="FF0000"/>
          <w:sz w:val="24"/>
          <w:szCs w:val="24"/>
        </w:rPr>
      </w:pPr>
      <w:r>
        <w:rPr>
          <w:rFonts w:hint="eastAsia" w:ascii="宋体" w:hAnsi="宋体"/>
          <w:b/>
          <w:bCs/>
          <w:color w:val="FF0000"/>
          <w:sz w:val="24"/>
          <w:szCs w:val="24"/>
        </w:rPr>
        <w:t>二、风险控制类岗位（招聘人数：</w:t>
      </w:r>
      <w:r>
        <w:rPr>
          <w:rFonts w:ascii="宋体" w:hAnsi="宋体"/>
          <w:b/>
          <w:bCs/>
          <w:color w:val="FF0000"/>
          <w:sz w:val="24"/>
          <w:szCs w:val="24"/>
        </w:rPr>
        <w:t>15</w:t>
      </w:r>
      <w:r>
        <w:rPr>
          <w:rFonts w:hint="eastAsia" w:ascii="宋体" w:hAnsi="宋体"/>
          <w:b/>
          <w:bCs/>
          <w:color w:val="FF0000"/>
          <w:sz w:val="24"/>
          <w:szCs w:val="24"/>
        </w:rPr>
        <w:t xml:space="preserve"> 人）</w:t>
      </w:r>
    </w:p>
    <w:p>
      <w:pPr>
        <w:spacing w:line="360" w:lineRule="auto"/>
        <w:jc w:val="left"/>
        <w:rPr>
          <w:rFonts w:ascii="宋体" w:hAnsi="宋体"/>
          <w:b/>
          <w:bCs/>
          <w:sz w:val="24"/>
          <w:szCs w:val="24"/>
        </w:rPr>
      </w:pPr>
      <w:r>
        <w:rPr>
          <w:rFonts w:hint="eastAsia" w:ascii="宋体" w:hAnsi="宋体"/>
          <w:b/>
          <w:bCs/>
          <w:sz w:val="24"/>
          <w:szCs w:val="24"/>
        </w:rPr>
        <w:t>发展方向：</w:t>
      </w:r>
      <w:r>
        <w:rPr>
          <w:rFonts w:hint="eastAsia" w:ascii="宋体" w:hAnsi="宋体"/>
          <w:sz w:val="24"/>
          <w:szCs w:val="24"/>
        </w:rPr>
        <w:t>风控策略岗、风控建模岗、风控分析岗</w:t>
      </w:r>
    </w:p>
    <w:p>
      <w:pPr>
        <w:spacing w:line="360" w:lineRule="auto"/>
        <w:jc w:val="left"/>
        <w:rPr>
          <w:rFonts w:ascii="宋体" w:hAnsi="宋体"/>
          <w:b/>
          <w:bCs/>
          <w:sz w:val="24"/>
          <w:szCs w:val="24"/>
        </w:rPr>
      </w:pPr>
      <w:r>
        <w:rPr>
          <w:rFonts w:hint="eastAsia" w:ascii="宋体" w:hAnsi="宋体"/>
          <w:b/>
          <w:bCs/>
          <w:sz w:val="24"/>
          <w:szCs w:val="24"/>
        </w:rPr>
        <w:t>岗位职责：</w:t>
      </w:r>
    </w:p>
    <w:p>
      <w:pPr>
        <w:spacing w:line="360" w:lineRule="auto"/>
        <w:ind w:firstLine="420"/>
        <w:jc w:val="left"/>
        <w:rPr>
          <w:rFonts w:ascii="宋体" w:hAnsi="宋体"/>
          <w:sz w:val="24"/>
          <w:szCs w:val="24"/>
        </w:rPr>
      </w:pPr>
      <w:r>
        <w:rPr>
          <w:rFonts w:ascii="宋体" w:hAnsi="宋体"/>
          <w:sz w:val="24"/>
          <w:szCs w:val="24"/>
        </w:rPr>
        <w:t>1</w:t>
      </w:r>
      <w:r>
        <w:rPr>
          <w:rFonts w:hint="eastAsia" w:ascii="宋体" w:hAnsi="宋体"/>
          <w:sz w:val="24"/>
          <w:szCs w:val="24"/>
        </w:rPr>
        <w:t>、建立和完善风险管理体系，制定风险控制相关的策略和流程，并推进落地；</w:t>
      </w:r>
    </w:p>
    <w:p>
      <w:pPr>
        <w:spacing w:line="360" w:lineRule="auto"/>
        <w:ind w:firstLine="420"/>
        <w:jc w:val="left"/>
        <w:rPr>
          <w:rFonts w:ascii="宋体" w:hAnsi="宋体"/>
          <w:sz w:val="24"/>
          <w:szCs w:val="24"/>
        </w:rPr>
      </w:pPr>
      <w:r>
        <w:rPr>
          <w:rFonts w:ascii="宋体" w:hAnsi="宋体"/>
          <w:sz w:val="24"/>
          <w:szCs w:val="24"/>
        </w:rPr>
        <w:t>2</w:t>
      </w:r>
      <w:r>
        <w:rPr>
          <w:rFonts w:hint="eastAsia" w:ascii="宋体" w:hAnsi="宋体"/>
          <w:sz w:val="24"/>
          <w:szCs w:val="24"/>
        </w:rPr>
        <w:t>、通过数据分析和逻辑推理，设计并推进</w:t>
      </w:r>
      <w:r>
        <w:rPr>
          <w:rFonts w:ascii="宋体" w:hAnsi="宋体"/>
          <w:sz w:val="24"/>
          <w:szCs w:val="24"/>
        </w:rPr>
        <w:t xml:space="preserve"> champoion/chanllenger </w:t>
      </w:r>
      <w:r>
        <w:rPr>
          <w:rFonts w:hint="eastAsia" w:ascii="宋体" w:hAnsi="宋体"/>
          <w:sz w:val="24"/>
          <w:szCs w:val="24"/>
        </w:rPr>
        <w:t>测试，对现有风控策略进行优化；</w:t>
      </w:r>
    </w:p>
    <w:p>
      <w:pPr>
        <w:spacing w:line="360" w:lineRule="auto"/>
        <w:ind w:firstLine="420"/>
        <w:jc w:val="left"/>
        <w:rPr>
          <w:rFonts w:ascii="宋体" w:hAnsi="宋体"/>
          <w:sz w:val="24"/>
          <w:szCs w:val="24"/>
        </w:rPr>
      </w:pPr>
      <w:r>
        <w:rPr>
          <w:rFonts w:ascii="宋体" w:hAnsi="宋体"/>
          <w:sz w:val="24"/>
          <w:szCs w:val="24"/>
        </w:rPr>
        <w:t>3</w:t>
      </w:r>
      <w:r>
        <w:rPr>
          <w:rFonts w:hint="eastAsia" w:ascii="宋体" w:hAnsi="宋体"/>
          <w:sz w:val="24"/>
          <w:szCs w:val="24"/>
        </w:rPr>
        <w:t>、根据客户的行为数据，建立各类统计或机器学习模型，预测客户的未来表现；</w:t>
      </w:r>
    </w:p>
    <w:p>
      <w:pPr>
        <w:spacing w:line="360" w:lineRule="auto"/>
        <w:ind w:firstLine="420"/>
        <w:jc w:val="left"/>
        <w:rPr>
          <w:rFonts w:ascii="宋体" w:hAnsi="宋体"/>
          <w:sz w:val="24"/>
          <w:szCs w:val="24"/>
        </w:rPr>
      </w:pPr>
      <w:r>
        <w:rPr>
          <w:rFonts w:ascii="宋体" w:hAnsi="宋体"/>
          <w:sz w:val="24"/>
          <w:szCs w:val="24"/>
        </w:rPr>
        <w:t>4</w:t>
      </w:r>
      <w:r>
        <w:rPr>
          <w:rFonts w:hint="eastAsia" w:ascii="宋体" w:hAnsi="宋体"/>
          <w:sz w:val="24"/>
          <w:szCs w:val="24"/>
        </w:rPr>
        <w:t>、量化分析目标人群的属性和行为数据，协助开发特征工程数据库，从建模的角度推动公司业务快速发展；</w:t>
      </w:r>
    </w:p>
    <w:p>
      <w:pPr>
        <w:spacing w:line="360" w:lineRule="auto"/>
        <w:ind w:firstLine="420"/>
        <w:jc w:val="left"/>
        <w:rPr>
          <w:rFonts w:ascii="宋体" w:hAnsi="宋体"/>
          <w:sz w:val="24"/>
          <w:szCs w:val="24"/>
        </w:rPr>
      </w:pPr>
      <w:r>
        <w:rPr>
          <w:rFonts w:ascii="宋体" w:hAnsi="宋体"/>
          <w:sz w:val="24"/>
          <w:szCs w:val="24"/>
        </w:rPr>
        <w:t>5</w:t>
      </w:r>
      <w:r>
        <w:rPr>
          <w:rFonts w:hint="eastAsia" w:ascii="宋体" w:hAnsi="宋体"/>
          <w:sz w:val="24"/>
          <w:szCs w:val="24"/>
        </w:rPr>
        <w:t>、开发并完善各类风控报表，制定预警性措施，确保业务在风险可控范围内运行；</w:t>
      </w:r>
    </w:p>
    <w:p>
      <w:pPr>
        <w:spacing w:line="360" w:lineRule="auto"/>
        <w:ind w:firstLine="420"/>
        <w:jc w:val="left"/>
        <w:rPr>
          <w:rFonts w:ascii="宋体" w:hAnsi="宋体"/>
          <w:sz w:val="24"/>
          <w:szCs w:val="24"/>
        </w:rPr>
      </w:pPr>
      <w:r>
        <w:rPr>
          <w:rFonts w:ascii="宋体" w:hAnsi="宋体"/>
          <w:sz w:val="24"/>
          <w:szCs w:val="24"/>
        </w:rPr>
        <w:t>6</w:t>
      </w:r>
      <w:r>
        <w:rPr>
          <w:rFonts w:hint="eastAsia" w:ascii="宋体" w:hAnsi="宋体"/>
          <w:sz w:val="24"/>
          <w:szCs w:val="24"/>
        </w:rPr>
        <w:t>、通过数据分析，解决风险控制和运营中遇到的实际问题，并提出改进优化措施。</w:t>
      </w:r>
    </w:p>
    <w:p>
      <w:pPr>
        <w:overflowPunct w:val="0"/>
        <w:spacing w:line="360" w:lineRule="auto"/>
        <w:ind w:right="140"/>
        <w:jc w:val="left"/>
        <w:rPr>
          <w:b/>
          <w:bCs/>
          <w:sz w:val="24"/>
          <w:szCs w:val="24"/>
        </w:rPr>
      </w:pPr>
      <w:r>
        <w:rPr>
          <w:rFonts w:hint="eastAsia" w:ascii="宋体" w:hAnsi="宋体"/>
          <w:b/>
          <w:bCs/>
          <w:sz w:val="24"/>
          <w:szCs w:val="24"/>
        </w:rPr>
        <w:t>职位要求：</w:t>
      </w:r>
    </w:p>
    <w:p>
      <w:pPr>
        <w:spacing w:line="360" w:lineRule="auto"/>
        <w:ind w:firstLine="420"/>
        <w:jc w:val="left"/>
        <w:rPr>
          <w:rFonts w:ascii="宋体" w:hAnsi="宋体"/>
          <w:sz w:val="24"/>
          <w:szCs w:val="24"/>
        </w:rPr>
      </w:pPr>
      <w:r>
        <w:rPr>
          <w:rFonts w:ascii="宋体" w:hAnsi="宋体"/>
          <w:sz w:val="24"/>
          <w:szCs w:val="24"/>
        </w:rPr>
        <w:t>1</w:t>
      </w:r>
      <w:r>
        <w:rPr>
          <w:rFonts w:hint="eastAsia" w:ascii="宋体" w:hAnsi="宋体"/>
          <w:sz w:val="24"/>
          <w:szCs w:val="24"/>
        </w:rPr>
        <w:t>、本科</w:t>
      </w:r>
      <w:r>
        <w:rPr>
          <w:rFonts w:ascii="宋体" w:hAnsi="宋体"/>
          <w:sz w:val="24"/>
          <w:szCs w:val="24"/>
        </w:rPr>
        <w:t>(</w:t>
      </w:r>
      <w:r>
        <w:rPr>
          <w:rFonts w:hint="eastAsia" w:ascii="宋体" w:hAnsi="宋体"/>
          <w:sz w:val="24"/>
          <w:szCs w:val="24"/>
        </w:rPr>
        <w:t>含</w:t>
      </w:r>
      <w:r>
        <w:rPr>
          <w:rFonts w:ascii="宋体" w:hAnsi="宋体"/>
          <w:sz w:val="24"/>
          <w:szCs w:val="24"/>
        </w:rPr>
        <w:t>)</w:t>
      </w:r>
      <w:r>
        <w:rPr>
          <w:rFonts w:hint="eastAsia" w:ascii="宋体" w:hAnsi="宋体"/>
          <w:sz w:val="24"/>
          <w:szCs w:val="24"/>
        </w:rPr>
        <w:t>以上学历</w:t>
      </w:r>
      <w:r>
        <w:rPr>
          <w:rFonts w:ascii="宋体" w:hAnsi="宋体"/>
          <w:sz w:val="24"/>
          <w:szCs w:val="24"/>
        </w:rPr>
        <w:t>,</w:t>
      </w:r>
      <w:r>
        <w:rPr>
          <w:rFonts w:hint="eastAsia" w:ascii="宋体" w:hAnsi="宋体"/>
          <w:sz w:val="24"/>
          <w:szCs w:val="24"/>
        </w:rPr>
        <w:t>数学、金融、统计、管理信息系统、财务管理等相关专业；</w:t>
      </w:r>
    </w:p>
    <w:p>
      <w:pPr>
        <w:spacing w:line="360" w:lineRule="auto"/>
        <w:ind w:firstLine="420"/>
        <w:jc w:val="left"/>
        <w:rPr>
          <w:rFonts w:ascii="宋体" w:hAnsi="宋体"/>
          <w:b/>
          <w:bCs/>
          <w:color w:val="FF0000"/>
          <w:sz w:val="24"/>
          <w:szCs w:val="24"/>
        </w:rPr>
      </w:pPr>
      <w:r>
        <w:rPr>
          <w:rFonts w:ascii="宋体" w:hAnsi="宋体"/>
          <w:sz w:val="24"/>
          <w:szCs w:val="24"/>
        </w:rPr>
        <w:t>2</w:t>
      </w:r>
      <w:r>
        <w:rPr>
          <w:rFonts w:hint="eastAsia" w:ascii="宋体" w:hAnsi="宋体"/>
          <w:sz w:val="24"/>
          <w:szCs w:val="24"/>
        </w:rPr>
        <w:t>、熟悉</w:t>
      </w:r>
      <w:r>
        <w:rPr>
          <w:rFonts w:ascii="宋体" w:hAnsi="宋体"/>
          <w:sz w:val="24"/>
          <w:szCs w:val="24"/>
        </w:rPr>
        <w:t xml:space="preserve"> SAS</w:t>
      </w:r>
      <w:r>
        <w:rPr>
          <w:rFonts w:hint="eastAsia" w:ascii="宋体" w:hAnsi="宋体"/>
          <w:sz w:val="24"/>
          <w:szCs w:val="24"/>
        </w:rPr>
        <w:t>、</w:t>
      </w:r>
      <w:r>
        <w:rPr>
          <w:rFonts w:ascii="宋体" w:hAnsi="宋体"/>
          <w:sz w:val="24"/>
          <w:szCs w:val="24"/>
        </w:rPr>
        <w:t xml:space="preserve">Matlab </w:t>
      </w:r>
      <w:r>
        <w:rPr>
          <w:rFonts w:hint="eastAsia" w:ascii="宋体" w:hAnsi="宋体"/>
          <w:sz w:val="24"/>
          <w:szCs w:val="24"/>
        </w:rPr>
        <w:t>等金融建模工具者优先，掌握回归、决策树、随机森林、聚类等多种常用建模方法者优先。</w:t>
      </w:r>
    </w:p>
    <w:p>
      <w:pPr>
        <w:spacing w:line="360" w:lineRule="auto"/>
        <w:rPr>
          <w:rFonts w:ascii="宋体" w:hAnsi="宋体"/>
          <w:b/>
          <w:bCs/>
          <w:color w:val="FF0000"/>
          <w:sz w:val="24"/>
          <w:szCs w:val="24"/>
        </w:rPr>
      </w:pPr>
      <w:r>
        <w:rPr>
          <w:rFonts w:hint="eastAsia" w:ascii="宋体" w:hAnsi="宋体"/>
          <w:b/>
          <w:bCs/>
          <w:color w:val="FF0000"/>
          <w:sz w:val="24"/>
          <w:szCs w:val="24"/>
        </w:rPr>
        <w:t>三、平台运营类岗位（招聘人数：</w:t>
      </w:r>
      <w:r>
        <w:rPr>
          <w:rFonts w:ascii="宋体" w:hAnsi="宋体"/>
          <w:b/>
          <w:bCs/>
          <w:color w:val="FF0000"/>
          <w:sz w:val="24"/>
          <w:szCs w:val="24"/>
        </w:rPr>
        <w:t>15</w:t>
      </w:r>
      <w:r>
        <w:rPr>
          <w:rFonts w:hint="eastAsia" w:ascii="宋体" w:hAnsi="宋体"/>
          <w:b/>
          <w:bCs/>
          <w:color w:val="FF0000"/>
          <w:sz w:val="24"/>
          <w:szCs w:val="24"/>
        </w:rPr>
        <w:t xml:space="preserve"> 人）</w:t>
      </w:r>
    </w:p>
    <w:p>
      <w:pPr>
        <w:spacing w:line="360" w:lineRule="auto"/>
        <w:jc w:val="left"/>
        <w:rPr>
          <w:sz w:val="24"/>
          <w:szCs w:val="24"/>
        </w:rPr>
      </w:pPr>
      <w:r>
        <w:rPr>
          <w:rFonts w:hint="eastAsia" w:ascii="宋体" w:hAnsi="宋体"/>
          <w:b/>
          <w:bCs/>
          <w:sz w:val="24"/>
          <w:szCs w:val="24"/>
        </w:rPr>
        <w:t>发展方向：</w:t>
      </w:r>
      <w:r>
        <w:rPr>
          <w:rFonts w:hint="eastAsia" w:ascii="宋体" w:hAnsi="宋体"/>
          <w:sz w:val="24"/>
          <w:szCs w:val="24"/>
        </w:rPr>
        <w:t>数据分析岗、活动策划岗</w:t>
      </w:r>
    </w:p>
    <w:p>
      <w:pPr>
        <w:overflowPunct w:val="0"/>
        <w:spacing w:line="360" w:lineRule="auto"/>
        <w:ind w:right="2020"/>
        <w:jc w:val="left"/>
        <w:rPr>
          <w:rFonts w:ascii="宋体" w:hAnsi="宋体"/>
          <w:b/>
          <w:bCs/>
          <w:sz w:val="24"/>
          <w:szCs w:val="24"/>
        </w:rPr>
      </w:pPr>
      <w:r>
        <w:rPr>
          <w:rFonts w:hint="eastAsia" w:ascii="宋体" w:hAnsi="宋体"/>
          <w:b/>
          <w:bCs/>
          <w:sz w:val="24"/>
          <w:szCs w:val="24"/>
        </w:rPr>
        <w:t>岗位职责：</w:t>
      </w:r>
    </w:p>
    <w:p>
      <w:pPr>
        <w:spacing w:line="360" w:lineRule="auto"/>
        <w:ind w:firstLine="420"/>
        <w:jc w:val="left"/>
        <w:rPr>
          <w:rFonts w:ascii="宋体" w:hAnsi="宋体"/>
          <w:sz w:val="24"/>
          <w:szCs w:val="24"/>
        </w:rPr>
      </w:pPr>
      <w:r>
        <w:rPr>
          <w:rFonts w:ascii="宋体" w:hAnsi="宋体"/>
          <w:sz w:val="24"/>
          <w:szCs w:val="24"/>
        </w:rPr>
        <w:t>1</w:t>
      </w:r>
      <w:r>
        <w:rPr>
          <w:rFonts w:hint="eastAsia" w:ascii="宋体" w:hAnsi="宋体"/>
          <w:sz w:val="24"/>
          <w:szCs w:val="24"/>
        </w:rPr>
        <w:t>、负责业务团队的数据分析工作，为数据指标的准确性负责；</w:t>
      </w:r>
    </w:p>
    <w:p>
      <w:pPr>
        <w:spacing w:line="360" w:lineRule="auto"/>
        <w:ind w:firstLine="420"/>
        <w:jc w:val="left"/>
        <w:rPr>
          <w:rFonts w:ascii="宋体" w:hAnsi="宋体"/>
          <w:sz w:val="24"/>
          <w:szCs w:val="24"/>
        </w:rPr>
      </w:pPr>
      <w:r>
        <w:rPr>
          <w:rFonts w:ascii="宋体" w:hAnsi="宋体"/>
          <w:sz w:val="24"/>
          <w:szCs w:val="24"/>
        </w:rPr>
        <w:t>2</w:t>
      </w:r>
      <w:r>
        <w:rPr>
          <w:rFonts w:hint="eastAsia" w:ascii="宋体" w:hAnsi="宋体"/>
          <w:sz w:val="24"/>
          <w:szCs w:val="24"/>
        </w:rPr>
        <w:t>、负责建立数据异常报警模型，监控和跟踪数据异常波动情况，并进行深入分析和问题定位；</w:t>
      </w:r>
    </w:p>
    <w:p>
      <w:pPr>
        <w:spacing w:line="360" w:lineRule="auto"/>
        <w:ind w:firstLine="420"/>
        <w:jc w:val="left"/>
        <w:rPr>
          <w:rFonts w:ascii="宋体" w:hAnsi="宋体"/>
          <w:sz w:val="24"/>
          <w:szCs w:val="24"/>
        </w:rPr>
      </w:pPr>
      <w:r>
        <w:rPr>
          <w:rFonts w:ascii="宋体" w:hAnsi="宋体"/>
          <w:sz w:val="24"/>
          <w:szCs w:val="24"/>
        </w:rPr>
        <w:t>3</w:t>
      </w:r>
      <w:r>
        <w:rPr>
          <w:rFonts w:hint="eastAsia" w:ascii="宋体" w:hAnsi="宋体"/>
          <w:sz w:val="24"/>
          <w:szCs w:val="24"/>
        </w:rPr>
        <w:t>、负责创新性营销活动、事件营销、热点营销，围绕重点业务进行话题或事件营销策划，同时根据市场推广计划和方案，组织和策划相应的宣传活动；</w:t>
      </w:r>
    </w:p>
    <w:p>
      <w:pPr>
        <w:spacing w:line="360" w:lineRule="auto"/>
        <w:ind w:firstLine="420"/>
        <w:jc w:val="left"/>
        <w:rPr>
          <w:rFonts w:ascii="宋体" w:hAnsi="宋体"/>
          <w:sz w:val="24"/>
          <w:szCs w:val="24"/>
        </w:rPr>
      </w:pPr>
      <w:r>
        <w:rPr>
          <w:rFonts w:ascii="宋体" w:hAnsi="宋体"/>
          <w:sz w:val="24"/>
          <w:szCs w:val="24"/>
        </w:rPr>
        <w:t>4</w:t>
      </w:r>
      <w:r>
        <w:rPr>
          <w:rFonts w:hint="eastAsia" w:ascii="宋体" w:hAnsi="宋体"/>
          <w:sz w:val="24"/>
          <w:szCs w:val="24"/>
        </w:rPr>
        <w:t>、通过整理活动数据和效果的汇整和分析，优化活动流程提升活动效果；</w:t>
      </w:r>
    </w:p>
    <w:p>
      <w:pPr>
        <w:spacing w:line="360" w:lineRule="auto"/>
        <w:ind w:firstLine="420"/>
        <w:jc w:val="left"/>
        <w:rPr>
          <w:rFonts w:ascii="宋体" w:hAnsi="宋体"/>
          <w:sz w:val="24"/>
          <w:szCs w:val="24"/>
        </w:rPr>
      </w:pPr>
      <w:r>
        <w:rPr>
          <w:rFonts w:hint="eastAsia" w:ascii="宋体" w:hAnsi="宋体"/>
          <w:sz w:val="24"/>
          <w:szCs w:val="24"/>
        </w:rPr>
        <w:t>5、协调产品、技术、市场等各方资源，保证活动正常上线，提升流量及用户转化。</w:t>
      </w:r>
    </w:p>
    <w:p>
      <w:pPr>
        <w:overflowPunct w:val="0"/>
        <w:spacing w:line="360" w:lineRule="auto"/>
        <w:ind w:right="2020"/>
        <w:jc w:val="left"/>
        <w:rPr>
          <w:rFonts w:ascii="宋体" w:hAnsi="宋体"/>
          <w:b/>
          <w:bCs/>
          <w:sz w:val="24"/>
          <w:szCs w:val="24"/>
        </w:rPr>
      </w:pPr>
      <w:r>
        <w:rPr>
          <w:rFonts w:hint="eastAsia" w:ascii="宋体" w:hAnsi="宋体"/>
          <w:b/>
          <w:bCs/>
          <w:sz w:val="24"/>
          <w:szCs w:val="24"/>
        </w:rPr>
        <w:t>职位要求：</w:t>
      </w:r>
    </w:p>
    <w:p>
      <w:pPr>
        <w:spacing w:line="360" w:lineRule="auto"/>
        <w:ind w:firstLine="420"/>
        <w:jc w:val="left"/>
        <w:rPr>
          <w:rFonts w:ascii="宋体" w:hAnsi="宋体"/>
          <w:sz w:val="24"/>
          <w:szCs w:val="24"/>
        </w:rPr>
      </w:pPr>
      <w:r>
        <w:rPr>
          <w:rFonts w:ascii="宋体" w:hAnsi="宋体"/>
          <w:sz w:val="24"/>
          <w:szCs w:val="24"/>
        </w:rPr>
        <w:t>1</w:t>
      </w:r>
      <w:r>
        <w:rPr>
          <w:rFonts w:hint="eastAsia" w:ascii="宋体" w:hAnsi="宋体"/>
          <w:sz w:val="24"/>
          <w:szCs w:val="24"/>
        </w:rPr>
        <w:t>、本科以上学历，数据分析岗要求应用数学、统计学、计量经济学等相关专业； 平台运营岗专业不限；</w:t>
      </w:r>
    </w:p>
    <w:p>
      <w:pPr>
        <w:spacing w:line="360" w:lineRule="auto"/>
        <w:ind w:firstLine="420"/>
        <w:jc w:val="left"/>
        <w:rPr>
          <w:rFonts w:ascii="宋体" w:hAnsi="宋体"/>
          <w:sz w:val="24"/>
          <w:szCs w:val="24"/>
        </w:rPr>
      </w:pPr>
      <w:r>
        <w:rPr>
          <w:rFonts w:ascii="宋体" w:hAnsi="宋体"/>
          <w:sz w:val="24"/>
          <w:szCs w:val="24"/>
        </w:rPr>
        <w:t>2</w:t>
      </w:r>
      <w:r>
        <w:rPr>
          <w:rFonts w:hint="eastAsia" w:ascii="宋体" w:hAnsi="宋体"/>
          <w:sz w:val="24"/>
          <w:szCs w:val="24"/>
        </w:rPr>
        <w:t>、数据分析岗要求熟悉</w:t>
      </w:r>
      <w:r>
        <w:rPr>
          <w:rFonts w:ascii="宋体" w:hAnsi="宋体"/>
          <w:sz w:val="24"/>
          <w:szCs w:val="24"/>
        </w:rPr>
        <w:t xml:space="preserve"> MySQL</w:t>
      </w:r>
      <w:r>
        <w:rPr>
          <w:rFonts w:hint="eastAsia" w:ascii="宋体" w:hAnsi="宋体"/>
          <w:sz w:val="24"/>
          <w:szCs w:val="24"/>
        </w:rPr>
        <w:t>、</w:t>
      </w:r>
      <w:r>
        <w:rPr>
          <w:rFonts w:ascii="宋体" w:hAnsi="宋体"/>
          <w:sz w:val="24"/>
          <w:szCs w:val="24"/>
        </w:rPr>
        <w:t xml:space="preserve">Oracle </w:t>
      </w:r>
      <w:r>
        <w:rPr>
          <w:rFonts w:hint="eastAsia" w:ascii="宋体" w:hAnsi="宋体"/>
          <w:sz w:val="24"/>
          <w:szCs w:val="24"/>
        </w:rPr>
        <w:t>等数据库，熟练使用</w:t>
      </w:r>
      <w:r>
        <w:rPr>
          <w:rFonts w:ascii="宋体" w:hAnsi="宋体"/>
          <w:sz w:val="24"/>
          <w:szCs w:val="24"/>
        </w:rPr>
        <w:t xml:space="preserve"> R</w:t>
      </w:r>
      <w:r>
        <w:rPr>
          <w:rFonts w:hint="eastAsia" w:ascii="宋体" w:hAnsi="宋体"/>
          <w:sz w:val="24"/>
          <w:szCs w:val="24"/>
        </w:rPr>
        <w:t>、</w:t>
      </w:r>
      <w:r>
        <w:rPr>
          <w:rFonts w:ascii="宋体" w:hAnsi="宋体"/>
          <w:sz w:val="24"/>
          <w:szCs w:val="24"/>
        </w:rPr>
        <w:t>SPSS</w:t>
      </w:r>
      <w:r>
        <w:rPr>
          <w:rFonts w:hint="eastAsia" w:ascii="宋体" w:hAnsi="宋体"/>
          <w:sz w:val="24"/>
          <w:szCs w:val="24"/>
        </w:rPr>
        <w:t>、</w:t>
      </w:r>
      <w:r>
        <w:rPr>
          <w:rFonts w:ascii="宋体" w:hAnsi="宋体"/>
          <w:sz w:val="24"/>
          <w:szCs w:val="24"/>
        </w:rPr>
        <w:t>SAS</w:t>
      </w:r>
      <w:r>
        <w:rPr>
          <w:rFonts w:hint="eastAsia" w:ascii="宋体" w:hAnsi="宋体"/>
          <w:sz w:val="24"/>
          <w:szCs w:val="24"/>
        </w:rPr>
        <w:t>、</w:t>
      </w:r>
      <w:r>
        <w:rPr>
          <w:rFonts w:ascii="宋体" w:hAnsi="宋体"/>
          <w:sz w:val="24"/>
          <w:szCs w:val="24"/>
        </w:rPr>
        <w:t xml:space="preserve"> Excel </w:t>
      </w:r>
      <w:r>
        <w:rPr>
          <w:rFonts w:hint="eastAsia" w:ascii="宋体" w:hAnsi="宋体"/>
          <w:sz w:val="24"/>
          <w:szCs w:val="24"/>
        </w:rPr>
        <w:t>等工具，熟练掌握常用数据挖掘方法和模型，具备良好的逻辑思维能力、沟通能力和表达能力；</w:t>
      </w:r>
    </w:p>
    <w:p>
      <w:pPr>
        <w:spacing w:line="360" w:lineRule="auto"/>
        <w:ind w:firstLine="420"/>
        <w:jc w:val="left"/>
        <w:rPr>
          <w:rFonts w:ascii="宋体" w:hAnsi="宋体"/>
          <w:b/>
          <w:bCs/>
          <w:color w:val="FF0000"/>
          <w:sz w:val="32"/>
          <w:szCs w:val="20"/>
        </w:rPr>
      </w:pPr>
      <w:r>
        <w:rPr>
          <w:rFonts w:ascii="宋体" w:hAnsi="宋体"/>
          <w:sz w:val="24"/>
          <w:szCs w:val="24"/>
        </w:rPr>
        <w:t>3</w:t>
      </w:r>
      <w:r>
        <w:rPr>
          <w:rFonts w:hint="eastAsia" w:ascii="宋体" w:hAnsi="宋体"/>
          <w:sz w:val="24"/>
          <w:szCs w:val="24"/>
        </w:rPr>
        <w:t>、活动策划岗要求具备开阔的思路，优秀的文案功底，独立策划、出色的审美感，具备顺畅沟通能力，具备一定的管理和协调能力。</w:t>
      </w:r>
    </w:p>
    <w:p>
      <w:pPr>
        <w:spacing w:before="156" w:beforeLines="50" w:after="156" w:afterLines="50"/>
        <w:jc w:val="left"/>
        <w:rPr>
          <w:rFonts w:ascii="宋体" w:hAnsi="宋体"/>
          <w:b/>
          <w:bCs/>
          <w:color w:val="FF0000"/>
          <w:sz w:val="32"/>
          <w:szCs w:val="20"/>
        </w:rPr>
      </w:pPr>
      <w:r>
        <w:rPr>
          <w:rFonts w:hint="eastAsia" w:ascii="宋体" w:hAnsi="宋体"/>
          <w:b/>
          <w:bCs/>
          <w:color w:val="FF0000"/>
          <w:sz w:val="32"/>
          <w:szCs w:val="20"/>
        </w:rPr>
        <w:t>薪酬福利</w:t>
      </w:r>
    </w:p>
    <w:p>
      <w:pPr>
        <w:keepNext w:val="0"/>
        <w:keepLines w:val="0"/>
        <w:pageBreakBefore w:val="0"/>
        <w:widowControl/>
        <w:kinsoku/>
        <w:wordWrap/>
        <w:overflowPunct/>
        <w:topLinePunct w:val="0"/>
        <w:autoSpaceDE/>
        <w:autoSpaceDN/>
        <w:bidi w:val="0"/>
        <w:adjustRightInd/>
        <w:snapToGrid/>
        <w:spacing w:before="313" w:beforeLines="100" w:line="240" w:lineRule="auto"/>
        <w:ind w:left="0" w:leftChars="0" w:right="0" w:rightChars="0" w:firstLine="420" w:firstLineChars="0"/>
        <w:jc w:val="left"/>
        <w:textAlignment w:val="auto"/>
        <w:outlineLvl w:val="9"/>
        <w:rPr>
          <w:rFonts w:hint="eastAsia" w:ascii="宋体" w:hAnsi="宋体"/>
          <w:sz w:val="24"/>
          <w:szCs w:val="24"/>
        </w:rPr>
      </w:pPr>
      <w:r>
        <w:rPr>
          <w:rFonts w:hint="eastAsia" w:ascii="宋体" w:hAnsi="宋体"/>
          <w:sz w:val="24"/>
          <w:szCs w:val="24"/>
        </w:rPr>
        <w:t>技术岗</w:t>
      </w:r>
      <w:r>
        <w:rPr>
          <w:rFonts w:hint="eastAsia" w:ascii="宋体" w:hAnsi="宋体"/>
          <w:sz w:val="24"/>
          <w:szCs w:val="24"/>
          <w:lang w:eastAsia="zh-CN"/>
        </w:rPr>
        <w:t>：</w:t>
      </w:r>
      <w:r>
        <w:rPr>
          <w:rFonts w:hint="eastAsia" w:ascii="宋体" w:hAnsi="宋体"/>
          <w:sz w:val="24"/>
          <w:szCs w:val="24"/>
        </w:rPr>
        <w:t>10000－12000元</w:t>
      </w:r>
    </w:p>
    <w:p>
      <w:pPr>
        <w:keepNext w:val="0"/>
        <w:keepLines w:val="0"/>
        <w:pageBreakBefore w:val="0"/>
        <w:widowControl/>
        <w:kinsoku/>
        <w:wordWrap/>
        <w:overflowPunct/>
        <w:topLinePunct w:val="0"/>
        <w:autoSpaceDE/>
        <w:autoSpaceDN/>
        <w:bidi w:val="0"/>
        <w:adjustRightInd/>
        <w:snapToGrid/>
        <w:spacing w:before="313" w:beforeLines="100" w:line="240" w:lineRule="auto"/>
        <w:ind w:left="0" w:leftChars="0" w:right="0" w:rightChars="0" w:firstLine="420" w:firstLineChars="0"/>
        <w:jc w:val="left"/>
        <w:textAlignment w:val="auto"/>
        <w:outlineLvl w:val="9"/>
        <w:rPr>
          <w:rFonts w:hint="eastAsia" w:ascii="宋体" w:hAnsi="宋体"/>
          <w:sz w:val="24"/>
          <w:szCs w:val="24"/>
        </w:rPr>
      </w:pPr>
      <w:r>
        <w:rPr>
          <w:rFonts w:hint="eastAsia" w:ascii="宋体" w:hAnsi="宋体"/>
          <w:sz w:val="24"/>
          <w:szCs w:val="24"/>
        </w:rPr>
        <w:t>非技术岗</w:t>
      </w:r>
      <w:r>
        <w:rPr>
          <w:rFonts w:hint="eastAsia" w:ascii="宋体" w:hAnsi="宋体"/>
          <w:sz w:val="24"/>
          <w:szCs w:val="24"/>
          <w:lang w:eastAsia="zh-CN"/>
        </w:rPr>
        <w:t>：</w:t>
      </w:r>
      <w:r>
        <w:rPr>
          <w:rFonts w:hint="eastAsia" w:ascii="宋体" w:hAnsi="宋体"/>
          <w:sz w:val="24"/>
          <w:szCs w:val="24"/>
        </w:rPr>
        <w:t>8000-10000元</w:t>
      </w:r>
    </w:p>
    <w:p>
      <w:pPr>
        <w:spacing w:before="312" w:beforeLines="100" w:line="360" w:lineRule="auto"/>
        <w:ind w:firstLine="420"/>
        <w:jc w:val="left"/>
        <w:rPr>
          <w:rFonts w:ascii="宋体" w:hAnsi="宋体"/>
          <w:sz w:val="24"/>
          <w:szCs w:val="24"/>
        </w:rPr>
      </w:pPr>
      <w:r>
        <w:rPr>
          <w:rFonts w:hint="eastAsia" w:ascii="宋体" w:hAnsi="宋体"/>
          <w:sz w:val="24"/>
          <w:szCs w:val="24"/>
        </w:rPr>
        <w:t>趣店集团是一家年轻化的互联网金融公司，加入我们，您将拥有公开、透明、高效的晋升通道；我们将为您提供全面周到的福利、</w:t>
      </w:r>
      <w:r>
        <w:rPr>
          <w:rFonts w:ascii="宋体" w:hAnsi="宋体"/>
          <w:sz w:val="24"/>
          <w:szCs w:val="24"/>
        </w:rPr>
        <w:t>“</w:t>
      </w:r>
      <w:r>
        <w:rPr>
          <w:rFonts w:hint="eastAsia" w:ascii="宋体" w:hAnsi="宋体"/>
          <w:sz w:val="24"/>
          <w:szCs w:val="24"/>
        </w:rPr>
        <w:t>高大上</w:t>
      </w:r>
      <w:r>
        <w:rPr>
          <w:rFonts w:ascii="宋体" w:hAnsi="宋体"/>
          <w:sz w:val="24"/>
          <w:szCs w:val="24"/>
        </w:rPr>
        <w:t>”</w:t>
      </w:r>
      <w:r>
        <w:rPr>
          <w:rFonts w:hint="eastAsia" w:ascii="宋体" w:hAnsi="宋体"/>
          <w:sz w:val="24"/>
          <w:szCs w:val="24"/>
        </w:rPr>
        <w:t>的办公环境，让您在轻松愉快的环境中无后顾之忧的办公。</w:t>
      </w:r>
    </w:p>
    <w:p>
      <w:pPr>
        <w:spacing w:line="360" w:lineRule="auto"/>
        <w:ind w:firstLine="420"/>
        <w:jc w:val="left"/>
        <w:rPr>
          <w:rFonts w:ascii="宋体" w:hAnsi="宋体"/>
          <w:sz w:val="24"/>
          <w:szCs w:val="24"/>
        </w:rPr>
      </w:pPr>
      <w:r>
        <w:rPr>
          <w:rFonts w:hint="eastAsia" w:ascii="宋体" w:hAnsi="宋体"/>
          <w:sz w:val="24"/>
          <w:szCs w:val="24"/>
        </w:rPr>
        <w:t>职业发展双通道是公司员工职业发展的指导模式。员工可根据自己的特质选择两类通道：一类是管理职业发展通道，另一类是专业技术职业发展通道。员工在职业发展过程中可根据公司需要和个人职业兴趣选择在不同通道间转换。</w:t>
      </w:r>
      <w:r>
        <w:rPr>
          <w:rFonts w:ascii="宋体" w:hAnsi="宋体"/>
          <w:sz w:val="24"/>
          <w:szCs w:val="24"/>
        </w:rPr>
        <w:drawing>
          <wp:anchor distT="0" distB="0" distL="114300" distR="114300" simplePos="0" relativeHeight="251668480" behindDoc="1" locked="0" layoutInCell="1" allowOverlap="1">
            <wp:simplePos x="0" y="0"/>
            <wp:positionH relativeFrom="column">
              <wp:posOffset>-2540</wp:posOffset>
            </wp:positionH>
            <wp:positionV relativeFrom="paragraph">
              <wp:posOffset>123190</wp:posOffset>
            </wp:positionV>
            <wp:extent cx="6350" cy="6350"/>
            <wp:effectExtent l="0" t="0" r="0" b="0"/>
            <wp:wrapNone/>
            <wp:docPr id="1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pic:cNvPicPr>
                      <a:picLocks noChangeAspect="1"/>
                    </pic:cNvPicPr>
                  </pic:nvPicPr>
                  <pic:blipFill>
                    <a:blip r:embed="rId5"/>
                    <a:stretch>
                      <a:fillRect/>
                    </a:stretch>
                  </pic:blipFill>
                  <pic:spPr>
                    <a:xfrm>
                      <a:off x="0" y="0"/>
                      <a:ext cx="6350" cy="6350"/>
                    </a:xfrm>
                    <a:prstGeom prst="rect">
                      <a:avLst/>
                    </a:prstGeom>
                    <a:noFill/>
                    <a:ln w="9525">
                      <a:noFill/>
                    </a:ln>
                  </pic:spPr>
                </pic:pic>
              </a:graphicData>
            </a:graphic>
          </wp:anchor>
        </w:drawing>
      </w:r>
      <w:r>
        <w:rPr>
          <w:rFonts w:ascii="宋体" w:hAnsi="宋体"/>
          <w:sz w:val="24"/>
          <w:szCs w:val="24"/>
        </w:rPr>
        <w:drawing>
          <wp:anchor distT="0" distB="0" distL="114300" distR="114300" simplePos="0" relativeHeight="251669504" behindDoc="1" locked="0" layoutInCell="1" allowOverlap="1">
            <wp:simplePos x="0" y="0"/>
            <wp:positionH relativeFrom="column">
              <wp:posOffset>1073150</wp:posOffset>
            </wp:positionH>
            <wp:positionV relativeFrom="paragraph">
              <wp:posOffset>123190</wp:posOffset>
            </wp:positionV>
            <wp:extent cx="6350" cy="6350"/>
            <wp:effectExtent l="0" t="0" r="0" b="0"/>
            <wp:wrapNone/>
            <wp:docPr id="1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pic:cNvPicPr>
                      <a:picLocks noChangeAspect="1"/>
                    </pic:cNvPicPr>
                  </pic:nvPicPr>
                  <pic:blipFill>
                    <a:blip r:embed="rId5"/>
                    <a:stretch>
                      <a:fillRect/>
                    </a:stretch>
                  </pic:blipFill>
                  <pic:spPr>
                    <a:xfrm>
                      <a:off x="0" y="0"/>
                      <a:ext cx="6350" cy="6350"/>
                    </a:xfrm>
                    <a:prstGeom prst="rect">
                      <a:avLst/>
                    </a:prstGeom>
                    <a:noFill/>
                    <a:ln w="9525">
                      <a:noFill/>
                    </a:ln>
                  </pic:spPr>
                </pic:pic>
              </a:graphicData>
            </a:graphic>
          </wp:anchor>
        </w:drawing>
      </w:r>
      <w:r>
        <w:rPr>
          <w:rFonts w:ascii="宋体" w:hAnsi="宋体"/>
          <w:sz w:val="24"/>
          <w:szCs w:val="24"/>
        </w:rPr>
        <w:drawing>
          <wp:anchor distT="0" distB="0" distL="114300" distR="114300" simplePos="0" relativeHeight="251670528" behindDoc="1" locked="0" layoutInCell="1" allowOverlap="1">
            <wp:simplePos x="0" y="0"/>
            <wp:positionH relativeFrom="column">
              <wp:posOffset>2514600</wp:posOffset>
            </wp:positionH>
            <wp:positionV relativeFrom="paragraph">
              <wp:posOffset>123190</wp:posOffset>
            </wp:positionV>
            <wp:extent cx="6350" cy="6350"/>
            <wp:effectExtent l="0" t="0" r="0" b="0"/>
            <wp:wrapNone/>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pic:cNvPicPr>
                      <a:picLocks noChangeAspect="1"/>
                    </pic:cNvPicPr>
                  </pic:nvPicPr>
                  <pic:blipFill>
                    <a:blip r:embed="rId5"/>
                    <a:stretch>
                      <a:fillRect/>
                    </a:stretch>
                  </pic:blipFill>
                  <pic:spPr>
                    <a:xfrm>
                      <a:off x="0" y="0"/>
                      <a:ext cx="6350" cy="6350"/>
                    </a:xfrm>
                    <a:prstGeom prst="rect">
                      <a:avLst/>
                    </a:prstGeom>
                    <a:noFill/>
                    <a:ln w="9525">
                      <a:noFill/>
                    </a:ln>
                  </pic:spPr>
                </pic:pic>
              </a:graphicData>
            </a:graphic>
          </wp:anchor>
        </w:drawing>
      </w:r>
    </w:p>
    <w:p>
      <w:pPr>
        <w:spacing w:line="65" w:lineRule="exact"/>
        <w:jc w:val="left"/>
        <w:rPr>
          <w:sz w:val="24"/>
        </w:rPr>
      </w:pPr>
      <w:r>
        <w:rPr>
          <w:sz w:val="24"/>
        </w:rPr>
        <w:drawing>
          <wp:anchor distT="0" distB="0" distL="114300" distR="114300" simplePos="0" relativeHeight="251671552" behindDoc="1" locked="0" layoutInCell="1" allowOverlap="1">
            <wp:simplePos x="0" y="0"/>
            <wp:positionH relativeFrom="column">
              <wp:posOffset>-2540</wp:posOffset>
            </wp:positionH>
            <wp:positionV relativeFrom="paragraph">
              <wp:posOffset>-810260</wp:posOffset>
            </wp:positionV>
            <wp:extent cx="6350" cy="6350"/>
            <wp:effectExtent l="0" t="0" r="0" b="0"/>
            <wp:wrapNone/>
            <wp:docPr id="1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pic:cNvPicPr>
                      <a:picLocks noChangeAspect="1"/>
                    </pic:cNvPicPr>
                  </pic:nvPicPr>
                  <pic:blipFill>
                    <a:blip r:embed="rId5"/>
                    <a:stretch>
                      <a:fillRect/>
                    </a:stretch>
                  </pic:blipFill>
                  <pic:spPr>
                    <a:xfrm>
                      <a:off x="0" y="0"/>
                      <a:ext cx="6350" cy="6350"/>
                    </a:xfrm>
                    <a:prstGeom prst="rect">
                      <a:avLst/>
                    </a:prstGeom>
                    <a:noFill/>
                    <a:ln w="9525">
                      <a:noFill/>
                    </a:ln>
                  </pic:spPr>
                </pic:pic>
              </a:graphicData>
            </a:graphic>
          </wp:anchor>
        </w:drawing>
      </w:r>
      <w:r>
        <w:rPr>
          <w:sz w:val="24"/>
        </w:rPr>
        <w:drawing>
          <wp:anchor distT="0" distB="0" distL="114300" distR="114300" simplePos="0" relativeHeight="251672576" behindDoc="1" locked="0" layoutInCell="1" allowOverlap="1">
            <wp:simplePos x="0" y="0"/>
            <wp:positionH relativeFrom="column">
              <wp:posOffset>1073150</wp:posOffset>
            </wp:positionH>
            <wp:positionV relativeFrom="paragraph">
              <wp:posOffset>-810260</wp:posOffset>
            </wp:positionV>
            <wp:extent cx="6350" cy="6350"/>
            <wp:effectExtent l="0" t="0" r="0" b="0"/>
            <wp:wrapNone/>
            <wp:docPr id="1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pic:cNvPicPr>
                      <a:picLocks noChangeAspect="1"/>
                    </pic:cNvPicPr>
                  </pic:nvPicPr>
                  <pic:blipFill>
                    <a:blip r:embed="rId5"/>
                    <a:stretch>
                      <a:fillRect/>
                    </a:stretch>
                  </pic:blipFill>
                  <pic:spPr>
                    <a:xfrm>
                      <a:off x="0" y="0"/>
                      <a:ext cx="6350" cy="6350"/>
                    </a:xfrm>
                    <a:prstGeom prst="rect">
                      <a:avLst/>
                    </a:prstGeom>
                    <a:noFill/>
                    <a:ln w="9525">
                      <a:noFill/>
                    </a:ln>
                  </pic:spPr>
                </pic:pic>
              </a:graphicData>
            </a:graphic>
          </wp:anchor>
        </w:drawing>
      </w:r>
      <w:r>
        <w:rPr>
          <w:sz w:val="24"/>
        </w:rPr>
        <w:drawing>
          <wp:anchor distT="0" distB="0" distL="114300" distR="114300" simplePos="0" relativeHeight="251673600" behindDoc="1" locked="0" layoutInCell="1" allowOverlap="1">
            <wp:simplePos x="0" y="0"/>
            <wp:positionH relativeFrom="column">
              <wp:posOffset>2514600</wp:posOffset>
            </wp:positionH>
            <wp:positionV relativeFrom="paragraph">
              <wp:posOffset>-810260</wp:posOffset>
            </wp:positionV>
            <wp:extent cx="6350" cy="6350"/>
            <wp:effectExtent l="0" t="0" r="0" b="0"/>
            <wp:wrapNone/>
            <wp:docPr id="1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pic:cNvPicPr>
                      <a:picLocks noChangeAspect="1"/>
                    </pic:cNvPicPr>
                  </pic:nvPicPr>
                  <pic:blipFill>
                    <a:blip r:embed="rId5"/>
                    <a:stretch>
                      <a:fillRect/>
                    </a:stretch>
                  </pic:blipFill>
                  <pic:spPr>
                    <a:xfrm>
                      <a:off x="0" y="0"/>
                      <a:ext cx="6350" cy="6350"/>
                    </a:xfrm>
                    <a:prstGeom prst="rect">
                      <a:avLst/>
                    </a:prstGeom>
                    <a:noFill/>
                    <a:ln w="9525">
                      <a:noFill/>
                    </a:ln>
                  </pic:spPr>
                </pic:pic>
              </a:graphicData>
            </a:graphic>
          </wp:anchor>
        </w:drawing>
      </w:r>
      <w:r>
        <w:rPr>
          <w:sz w:val="24"/>
        </w:rPr>
        <w:drawing>
          <wp:anchor distT="0" distB="0" distL="114300" distR="114300" simplePos="0" relativeHeight="251674624" behindDoc="1" locked="0" layoutInCell="1" allowOverlap="1">
            <wp:simplePos x="0" y="0"/>
            <wp:positionH relativeFrom="column">
              <wp:posOffset>-2540</wp:posOffset>
            </wp:positionH>
            <wp:positionV relativeFrom="paragraph">
              <wp:posOffset>-407670</wp:posOffset>
            </wp:positionV>
            <wp:extent cx="6350" cy="6350"/>
            <wp:effectExtent l="0" t="0" r="0" b="0"/>
            <wp:wrapNone/>
            <wp:docPr id="1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8"/>
                    <pic:cNvPicPr>
                      <a:picLocks noChangeAspect="1"/>
                    </pic:cNvPicPr>
                  </pic:nvPicPr>
                  <pic:blipFill>
                    <a:blip r:embed="rId5"/>
                    <a:stretch>
                      <a:fillRect/>
                    </a:stretch>
                  </pic:blipFill>
                  <pic:spPr>
                    <a:xfrm>
                      <a:off x="0" y="0"/>
                      <a:ext cx="6350" cy="6350"/>
                    </a:xfrm>
                    <a:prstGeom prst="rect">
                      <a:avLst/>
                    </a:prstGeom>
                    <a:noFill/>
                    <a:ln w="9525">
                      <a:noFill/>
                    </a:ln>
                  </pic:spPr>
                </pic:pic>
              </a:graphicData>
            </a:graphic>
          </wp:anchor>
        </w:drawing>
      </w:r>
      <w:r>
        <w:rPr>
          <w:sz w:val="24"/>
        </w:rPr>
        <w:drawing>
          <wp:anchor distT="0" distB="0" distL="114300" distR="114300" simplePos="0" relativeHeight="251675648" behindDoc="1" locked="0" layoutInCell="1" allowOverlap="1">
            <wp:simplePos x="0" y="0"/>
            <wp:positionH relativeFrom="column">
              <wp:posOffset>1073150</wp:posOffset>
            </wp:positionH>
            <wp:positionV relativeFrom="paragraph">
              <wp:posOffset>-407670</wp:posOffset>
            </wp:positionV>
            <wp:extent cx="6350" cy="6350"/>
            <wp:effectExtent l="0" t="0" r="0" b="0"/>
            <wp:wrapNone/>
            <wp:docPr id="1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9"/>
                    <pic:cNvPicPr>
                      <a:picLocks noChangeAspect="1"/>
                    </pic:cNvPicPr>
                  </pic:nvPicPr>
                  <pic:blipFill>
                    <a:blip r:embed="rId5"/>
                    <a:stretch>
                      <a:fillRect/>
                    </a:stretch>
                  </pic:blipFill>
                  <pic:spPr>
                    <a:xfrm>
                      <a:off x="0" y="0"/>
                      <a:ext cx="6350" cy="6350"/>
                    </a:xfrm>
                    <a:prstGeom prst="rect">
                      <a:avLst/>
                    </a:prstGeom>
                    <a:noFill/>
                    <a:ln w="9525">
                      <a:noFill/>
                    </a:ln>
                  </pic:spPr>
                </pic:pic>
              </a:graphicData>
            </a:graphic>
          </wp:anchor>
        </w:drawing>
      </w:r>
      <w:r>
        <w:rPr>
          <w:sz w:val="24"/>
        </w:rPr>
        <w:drawing>
          <wp:anchor distT="0" distB="0" distL="114300" distR="114300" simplePos="0" relativeHeight="251676672" behindDoc="1" locked="0" layoutInCell="1" allowOverlap="1">
            <wp:simplePos x="0" y="0"/>
            <wp:positionH relativeFrom="column">
              <wp:posOffset>2514600</wp:posOffset>
            </wp:positionH>
            <wp:positionV relativeFrom="paragraph">
              <wp:posOffset>-407670</wp:posOffset>
            </wp:positionV>
            <wp:extent cx="6350" cy="6350"/>
            <wp:effectExtent l="0" t="0" r="0" b="0"/>
            <wp:wrapNone/>
            <wp:docPr id="1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0"/>
                    <pic:cNvPicPr>
                      <a:picLocks noChangeAspect="1"/>
                    </pic:cNvPicPr>
                  </pic:nvPicPr>
                  <pic:blipFill>
                    <a:blip r:embed="rId5"/>
                    <a:stretch>
                      <a:fillRect/>
                    </a:stretch>
                  </pic:blipFill>
                  <pic:spPr>
                    <a:xfrm>
                      <a:off x="0" y="0"/>
                      <a:ext cx="6350" cy="6350"/>
                    </a:xfrm>
                    <a:prstGeom prst="rect">
                      <a:avLst/>
                    </a:prstGeom>
                    <a:noFill/>
                    <a:ln w="9525">
                      <a:noFill/>
                    </a:ln>
                  </pic:spPr>
                </pic:pic>
              </a:graphicData>
            </a:graphic>
          </wp:anchor>
        </w:drawing>
      </w:r>
      <w:r>
        <w:rPr>
          <w:sz w:val="24"/>
        </w:rPr>
        <w:drawing>
          <wp:anchor distT="0" distB="0" distL="114300" distR="114300" simplePos="0" relativeHeight="251677696" behindDoc="1" locked="0" layoutInCell="1" allowOverlap="1">
            <wp:simplePos x="0" y="0"/>
            <wp:positionH relativeFrom="column">
              <wp:posOffset>-2540</wp:posOffset>
            </wp:positionH>
            <wp:positionV relativeFrom="paragraph">
              <wp:posOffset>-5715</wp:posOffset>
            </wp:positionV>
            <wp:extent cx="6350" cy="6350"/>
            <wp:effectExtent l="0" t="0" r="0" b="0"/>
            <wp:wrapNone/>
            <wp:docPr id="20"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1"/>
                    <pic:cNvPicPr>
                      <a:picLocks noChangeAspect="1"/>
                    </pic:cNvPicPr>
                  </pic:nvPicPr>
                  <pic:blipFill>
                    <a:blip r:embed="rId5"/>
                    <a:stretch>
                      <a:fillRect/>
                    </a:stretch>
                  </pic:blipFill>
                  <pic:spPr>
                    <a:xfrm>
                      <a:off x="0" y="0"/>
                      <a:ext cx="6350" cy="6350"/>
                    </a:xfrm>
                    <a:prstGeom prst="rect">
                      <a:avLst/>
                    </a:prstGeom>
                    <a:noFill/>
                    <a:ln w="9525">
                      <a:noFill/>
                    </a:ln>
                  </pic:spPr>
                </pic:pic>
              </a:graphicData>
            </a:graphic>
          </wp:anchor>
        </w:drawing>
      </w:r>
      <w:r>
        <w:rPr>
          <w:sz w:val="24"/>
        </w:rPr>
        <w:drawing>
          <wp:anchor distT="0" distB="0" distL="114300" distR="114300" simplePos="0" relativeHeight="251678720" behindDoc="1" locked="0" layoutInCell="1" allowOverlap="1">
            <wp:simplePos x="0" y="0"/>
            <wp:positionH relativeFrom="column">
              <wp:posOffset>1073150</wp:posOffset>
            </wp:positionH>
            <wp:positionV relativeFrom="paragraph">
              <wp:posOffset>-5715</wp:posOffset>
            </wp:positionV>
            <wp:extent cx="6350" cy="6350"/>
            <wp:effectExtent l="0" t="0" r="0" b="0"/>
            <wp:wrapNone/>
            <wp:docPr id="2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2"/>
                    <pic:cNvPicPr>
                      <a:picLocks noChangeAspect="1"/>
                    </pic:cNvPicPr>
                  </pic:nvPicPr>
                  <pic:blipFill>
                    <a:blip r:embed="rId5"/>
                    <a:stretch>
                      <a:fillRect/>
                    </a:stretch>
                  </pic:blipFill>
                  <pic:spPr>
                    <a:xfrm>
                      <a:off x="0" y="0"/>
                      <a:ext cx="6350" cy="6350"/>
                    </a:xfrm>
                    <a:prstGeom prst="rect">
                      <a:avLst/>
                    </a:prstGeom>
                    <a:noFill/>
                    <a:ln w="9525">
                      <a:noFill/>
                    </a:ln>
                  </pic:spPr>
                </pic:pic>
              </a:graphicData>
            </a:graphic>
          </wp:anchor>
        </w:drawing>
      </w:r>
      <w:r>
        <w:rPr>
          <w:sz w:val="24"/>
        </w:rPr>
        <w:drawing>
          <wp:anchor distT="0" distB="0" distL="114300" distR="114300" simplePos="0" relativeHeight="251679744" behindDoc="1" locked="0" layoutInCell="1" allowOverlap="1">
            <wp:simplePos x="0" y="0"/>
            <wp:positionH relativeFrom="column">
              <wp:posOffset>2514600</wp:posOffset>
            </wp:positionH>
            <wp:positionV relativeFrom="paragraph">
              <wp:posOffset>-5715</wp:posOffset>
            </wp:positionV>
            <wp:extent cx="6350" cy="6350"/>
            <wp:effectExtent l="0" t="0" r="0" b="0"/>
            <wp:wrapNone/>
            <wp:docPr id="2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3"/>
                    <pic:cNvPicPr>
                      <a:picLocks noChangeAspect="1"/>
                    </pic:cNvPicPr>
                  </pic:nvPicPr>
                  <pic:blipFill>
                    <a:blip r:embed="rId5"/>
                    <a:stretch>
                      <a:fillRect/>
                    </a:stretch>
                  </pic:blipFill>
                  <pic:spPr>
                    <a:xfrm>
                      <a:off x="0" y="0"/>
                      <a:ext cx="6350" cy="6350"/>
                    </a:xfrm>
                    <a:prstGeom prst="rect">
                      <a:avLst/>
                    </a:prstGeom>
                    <a:noFill/>
                    <a:ln w="9525">
                      <a:noFill/>
                    </a:ln>
                  </pic:spPr>
                </pic:pic>
              </a:graphicData>
            </a:graphic>
          </wp:anchor>
        </w:drawing>
      </w:r>
    </w:p>
    <w:p>
      <w:pPr>
        <w:spacing w:line="239" w:lineRule="auto"/>
        <w:jc w:val="left"/>
        <w:rPr>
          <w:sz w:val="24"/>
        </w:rPr>
      </w:pPr>
      <w:r>
        <w:rPr>
          <w:rFonts w:hint="eastAsia" w:ascii="宋体" w:hAnsi="宋体"/>
          <w:b/>
          <w:bCs/>
          <w:color w:val="FF0000"/>
          <w:sz w:val="32"/>
          <w:szCs w:val="20"/>
        </w:rPr>
        <w:t>应聘渠道</w:t>
      </w:r>
    </w:p>
    <w:p>
      <w:pPr>
        <w:jc w:val="left"/>
        <w:rPr>
          <w:sz w:val="24"/>
        </w:rPr>
      </w:pPr>
      <w:r>
        <w:rPr>
          <w:rFonts w:hint="eastAsia"/>
          <w:sz w:val="24"/>
        </w:rPr>
        <w:t>网申地址：</w:t>
      </w:r>
      <w:r>
        <w:rPr>
          <w:rFonts w:hint="eastAsia" w:ascii="宋体" w:hAnsi="宋体"/>
          <w:sz w:val="24"/>
          <w:szCs w:val="24"/>
        </w:rPr>
        <w:t>http://www.minixiao.com/company/st/17101.html</w:t>
      </w:r>
    </w:p>
    <w:p>
      <w:pPr>
        <w:jc w:val="left"/>
        <w:rPr>
          <w:sz w:val="24"/>
        </w:rPr>
      </w:pPr>
    </w:p>
    <w:p>
      <w:pPr>
        <w:jc w:val="left"/>
        <w:rPr>
          <w:sz w:val="24"/>
        </w:rPr>
      </w:pPr>
    </w:p>
    <w:p>
      <w:pPr>
        <w:jc w:val="left"/>
        <w:rPr>
          <w:sz w:val="24"/>
        </w:rPr>
      </w:pPr>
    </w:p>
    <w:p>
      <w:pPr>
        <w:jc w:val="left"/>
        <w:rPr>
          <w:sz w:val="24"/>
        </w:rPr>
      </w:pPr>
    </w:p>
    <w:p>
      <w:pPr>
        <w:jc w:val="left"/>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思源黑体 CN Bold">
    <w:altName w:val="Arial Unicode MS"/>
    <w:panose1 w:val="00000000000000000000"/>
    <w:charset w:val="86"/>
    <w:family w:val="auto"/>
    <w:pitch w:val="default"/>
    <w:sig w:usb0="00000000" w:usb1="00000000" w:usb2="00000016" w:usb3="00000000" w:csb0="60060107"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0" w:usb3="00000000" w:csb0="0000019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D9874"/>
    <w:multiLevelType w:val="singleLevel"/>
    <w:tmpl w:val="580D9874"/>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A7820"/>
    <w:rsid w:val="00321245"/>
    <w:rsid w:val="003D0901"/>
    <w:rsid w:val="00996F24"/>
    <w:rsid w:val="00E4042E"/>
    <w:rsid w:val="00F61794"/>
    <w:rsid w:val="259D2DA9"/>
    <w:rsid w:val="2DBF5C63"/>
    <w:rsid w:val="362A71CA"/>
    <w:rsid w:val="4C895D60"/>
    <w:rsid w:val="4EA75A21"/>
    <w:rsid w:val="5F5E3CD2"/>
    <w:rsid w:val="6DBA782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4"/>
    <w:link w:val="3"/>
    <w:qFormat/>
    <w:uiPriority w:val="0"/>
    <w:rPr>
      <w:rFonts w:eastAsia="宋体"/>
      <w:kern w:val="2"/>
      <w:sz w:val="18"/>
      <w:szCs w:val="18"/>
    </w:rPr>
  </w:style>
  <w:style w:type="character" w:customStyle="1" w:styleId="8">
    <w:name w:val="页脚 字符"/>
    <w:basedOn w:val="4"/>
    <w:link w:val="2"/>
    <w:uiPriority w:val="0"/>
    <w:rPr>
      <w:rFonts w:eastAsia="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1018</Words>
  <Characters>1762</Characters>
  <Lines>42</Lines>
  <Paragraphs>44</Paragraphs>
  <TotalTime>0</TotalTime>
  <ScaleCrop>false</ScaleCrop>
  <LinksUpToDate>false</LinksUpToDate>
  <CharactersWithSpaces>2736</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2016-10-24T05:28:00Z</dcterms:created>
  <dc:creator>Administrator</dc:creator>
  <cp:lastModifiedBy>MAC</cp:lastModifiedBy>
  <dcterms:modified xsi:type="dcterms:W3CDTF">2016-11-06T10:14:26Z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